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47E9" w14:textId="24DF6FA4" w:rsidR="008358EF" w:rsidRPr="00DA7BA2" w:rsidRDefault="00DA7BA2" w:rsidP="00DA7BA2">
      <w:pPr>
        <w:autoSpaceDE w:val="0"/>
        <w:autoSpaceDN w:val="0"/>
        <w:adjustRightInd w:val="0"/>
        <w:rPr>
          <w:rFonts w:ascii="Arial" w:eastAsia="Times New Roman" w:hAnsi="Arial" w:cs="Arial"/>
          <w:i/>
          <w:sz w:val="22"/>
          <w:szCs w:val="22"/>
          <w:lang w:val="es-ES"/>
        </w:rPr>
      </w:pPr>
      <w:r w:rsidRPr="00DA7BA2">
        <w:rPr>
          <w:rFonts w:ascii="Arial" w:eastAsia="Times New Roman" w:hAnsi="Arial" w:cs="Arial"/>
          <w:i/>
          <w:sz w:val="22"/>
          <w:szCs w:val="22"/>
          <w:lang w:val="es-ES"/>
        </w:rPr>
        <w:t>Dirección de Gestión y Desempeño Institucional</w:t>
      </w:r>
    </w:p>
    <w:p w14:paraId="575BC53D" w14:textId="21587333" w:rsidR="00DA7BA2" w:rsidRPr="00DA7BA2" w:rsidRDefault="00DA7BA2" w:rsidP="00DA7BA2">
      <w:pPr>
        <w:autoSpaceDE w:val="0"/>
        <w:autoSpaceDN w:val="0"/>
        <w:adjustRightInd w:val="0"/>
        <w:rPr>
          <w:rFonts w:ascii="Arial" w:eastAsia="Times New Roman" w:hAnsi="Arial" w:cs="Arial"/>
          <w:i/>
          <w:sz w:val="22"/>
          <w:szCs w:val="22"/>
          <w:lang w:val="es-ES"/>
        </w:rPr>
      </w:pPr>
      <w:r w:rsidRPr="00DA7BA2">
        <w:rPr>
          <w:rFonts w:ascii="Arial" w:eastAsia="Times New Roman" w:hAnsi="Arial" w:cs="Arial"/>
          <w:i/>
          <w:sz w:val="22"/>
          <w:szCs w:val="22"/>
          <w:lang w:val="es-ES"/>
        </w:rPr>
        <w:t>Bogotá D.C.</w:t>
      </w:r>
    </w:p>
    <w:p w14:paraId="0E846E6E" w14:textId="181E28D0" w:rsidR="00DA7BA2" w:rsidRPr="00DA7BA2" w:rsidRDefault="00DA7BA2" w:rsidP="00DA7BA2">
      <w:pPr>
        <w:autoSpaceDE w:val="0"/>
        <w:autoSpaceDN w:val="0"/>
        <w:adjustRightInd w:val="0"/>
        <w:rPr>
          <w:rFonts w:ascii="Arial" w:eastAsia="Times New Roman" w:hAnsi="Arial" w:cs="Arial"/>
          <w:i/>
          <w:sz w:val="22"/>
          <w:szCs w:val="22"/>
          <w:lang w:val="es-ES"/>
        </w:rPr>
      </w:pPr>
      <w:r w:rsidRPr="00DA7BA2">
        <w:rPr>
          <w:rFonts w:ascii="Arial" w:eastAsia="Times New Roman" w:hAnsi="Arial" w:cs="Arial"/>
          <w:i/>
          <w:sz w:val="22"/>
          <w:szCs w:val="22"/>
          <w:lang w:val="es-ES"/>
        </w:rPr>
        <w:t>Noviembre 2022</w:t>
      </w:r>
    </w:p>
    <w:p w14:paraId="2EFDFE37" w14:textId="610E53B4" w:rsidR="00DA7BA2" w:rsidRDefault="00DA7BA2" w:rsidP="00DA7BA2">
      <w:pPr>
        <w:autoSpaceDE w:val="0"/>
        <w:autoSpaceDN w:val="0"/>
        <w:adjustRightInd w:val="0"/>
        <w:rPr>
          <w:rFonts w:ascii="Arial" w:eastAsia="Times New Roman" w:hAnsi="Arial" w:cs="Arial"/>
          <w:sz w:val="22"/>
          <w:szCs w:val="22"/>
          <w:lang w:val="es-ES"/>
        </w:rPr>
      </w:pPr>
    </w:p>
    <w:p w14:paraId="723061A7" w14:textId="77777777" w:rsidR="00DA7BA2" w:rsidRPr="00DA7BA2" w:rsidRDefault="00DA7BA2" w:rsidP="00DA7BA2">
      <w:pPr>
        <w:jc w:val="center"/>
        <w:rPr>
          <w:rFonts w:ascii="Arial Narrow" w:hAnsi="Arial Narrow" w:cs="Arial"/>
          <w:b/>
          <w:bCs/>
          <w:sz w:val="32"/>
          <w:szCs w:val="32"/>
        </w:rPr>
      </w:pPr>
      <w:r w:rsidRPr="00DA7BA2">
        <w:rPr>
          <w:rFonts w:ascii="Arial Narrow" w:hAnsi="Arial Narrow" w:cs="Arial"/>
          <w:b/>
          <w:bCs/>
          <w:sz w:val="32"/>
          <w:szCs w:val="32"/>
        </w:rPr>
        <w:t>CATÁLOGO INDICATIVO Y ENUNCIATIVO DE PUNTOS DE RIESGO FISCAL Y CIRCUNSTANCIAS INMEDIATAS</w:t>
      </w:r>
    </w:p>
    <w:p w14:paraId="451F4418" w14:textId="77777777" w:rsidR="00DA7BA2" w:rsidRPr="00DA7BA2" w:rsidRDefault="00DA7BA2" w:rsidP="00DA7BA2">
      <w:pPr>
        <w:jc w:val="center"/>
        <w:rPr>
          <w:rFonts w:ascii="Arial Narrow" w:hAnsi="Arial Narrow" w:cs="Arial"/>
          <w:b/>
          <w:bCs/>
          <w:sz w:val="32"/>
          <w:szCs w:val="32"/>
        </w:rPr>
      </w:pPr>
      <w:r w:rsidRPr="00DA7BA2">
        <w:rPr>
          <w:rFonts w:ascii="Arial Narrow" w:hAnsi="Arial Narrow" w:cs="Arial"/>
          <w:b/>
          <w:bCs/>
          <w:sz w:val="32"/>
          <w:szCs w:val="32"/>
        </w:rPr>
        <w:t>(Anexo 1)</w:t>
      </w:r>
    </w:p>
    <w:p w14:paraId="5B843372" w14:textId="77777777" w:rsidR="00DA7BA2" w:rsidRPr="00DA7BA2" w:rsidRDefault="00DA7BA2" w:rsidP="00DA7BA2">
      <w:pPr>
        <w:jc w:val="both"/>
        <w:rPr>
          <w:rFonts w:ascii="Arial Narrow" w:hAnsi="Arial Narrow" w:cs="Arial"/>
        </w:rPr>
      </w:pPr>
    </w:p>
    <w:p w14:paraId="79B67760" w14:textId="77777777" w:rsidR="00DA7BA2" w:rsidRPr="00DA7BA2" w:rsidRDefault="00DA7BA2" w:rsidP="00DA7BA2">
      <w:pPr>
        <w:jc w:val="both"/>
        <w:rPr>
          <w:rFonts w:ascii="Arial Narrow" w:hAnsi="Arial Narrow" w:cs="Arial"/>
          <w:b/>
          <w:bCs/>
        </w:rPr>
      </w:pPr>
      <w:r w:rsidRPr="00DA7BA2">
        <w:rPr>
          <w:rFonts w:ascii="Arial Narrow" w:hAnsi="Arial Narrow" w:cs="Arial"/>
          <w:b/>
          <w:bCs/>
        </w:rPr>
        <w:t xml:space="preserve">Introducción </w:t>
      </w:r>
    </w:p>
    <w:p w14:paraId="680E8B58" w14:textId="77777777" w:rsidR="00DA7BA2" w:rsidRPr="00DA7BA2" w:rsidRDefault="00DA7BA2" w:rsidP="00DA7BA2">
      <w:pPr>
        <w:spacing w:line="360" w:lineRule="auto"/>
        <w:jc w:val="both"/>
        <w:rPr>
          <w:rFonts w:ascii="Arial Narrow" w:hAnsi="Arial Narrow" w:cs="Arial"/>
        </w:rPr>
      </w:pPr>
    </w:p>
    <w:p w14:paraId="11049759" w14:textId="77777777" w:rsidR="00DA7BA2" w:rsidRPr="00DA7BA2" w:rsidRDefault="00DA7BA2" w:rsidP="00DA7BA2">
      <w:pPr>
        <w:spacing w:line="360" w:lineRule="auto"/>
        <w:ind w:firstLine="567"/>
        <w:jc w:val="both"/>
        <w:rPr>
          <w:rFonts w:ascii="Arial Narrow" w:hAnsi="Arial Narrow" w:cs="Arial"/>
        </w:rPr>
      </w:pPr>
      <w:r w:rsidRPr="00DA7BA2">
        <w:rPr>
          <w:rFonts w:ascii="Arial Narrow" w:hAnsi="Arial Narrow" w:cs="Arial"/>
        </w:rPr>
        <w:t xml:space="preserve">Como resultado de la metodología de investigación que ha venido implementando el </w:t>
      </w:r>
      <w:r w:rsidRPr="00DA7BA2">
        <w:rPr>
          <w:rFonts w:ascii="Arial Narrow" w:hAnsi="Arial Narrow" w:cs="Arial"/>
          <w:i/>
          <w:iCs/>
        </w:rPr>
        <w:t>Semillero de Investigación de la Academia de la Gestión Pública</w:t>
      </w:r>
      <w:r w:rsidRPr="00DA7BA2">
        <w:rPr>
          <w:rFonts w:ascii="Arial Narrow" w:hAnsi="Arial Narrow" w:cs="Arial"/>
        </w:rPr>
        <w:t xml:space="preserve"> desde el año 2018, fue posible identificar los principales </w:t>
      </w:r>
      <w:r w:rsidRPr="00DA7BA2">
        <w:rPr>
          <w:rFonts w:ascii="Arial Narrow" w:hAnsi="Arial Narrow" w:cs="Arial"/>
          <w:i/>
          <w:iCs/>
        </w:rPr>
        <w:t>puntos de riesgo fiscal</w:t>
      </w:r>
      <w:r w:rsidRPr="00DA7BA2">
        <w:rPr>
          <w:rFonts w:ascii="Arial Narrow" w:hAnsi="Arial Narrow" w:cs="Arial"/>
        </w:rPr>
        <w:t xml:space="preserve"> y </w:t>
      </w:r>
      <w:r w:rsidRPr="00DA7BA2">
        <w:rPr>
          <w:rFonts w:ascii="Arial Narrow" w:hAnsi="Arial Narrow" w:cs="Arial"/>
          <w:i/>
          <w:iCs/>
        </w:rPr>
        <w:t xml:space="preserve">circunstancias inmediatas </w:t>
      </w:r>
      <w:r w:rsidRPr="00DA7BA2">
        <w:rPr>
          <w:rFonts w:ascii="Arial Narrow" w:hAnsi="Arial Narrow" w:cs="Arial"/>
        </w:rPr>
        <w:t>de dichos riesgos</w:t>
      </w:r>
      <w:r w:rsidRPr="00DA7BA2">
        <w:rPr>
          <w:rFonts w:ascii="Arial Narrow" w:hAnsi="Arial Narrow" w:cs="Arial"/>
          <w:i/>
          <w:iCs/>
        </w:rPr>
        <w:t xml:space="preserve">, </w:t>
      </w:r>
      <w:r w:rsidRPr="00DA7BA2">
        <w:rPr>
          <w:rFonts w:ascii="Arial Narrow" w:hAnsi="Arial Narrow" w:cs="Arial"/>
        </w:rPr>
        <w:t xml:space="preserve">mediante el estudio de:  i)  los avances que los diferentes órganos de control tienen frente a la definición de riesgo fiscal y la identificación de los principales riesgos fiscales en sus sujetos vigilados, </w:t>
      </w:r>
      <w:proofErr w:type="spellStart"/>
      <w:r w:rsidRPr="00DA7BA2">
        <w:rPr>
          <w:rFonts w:ascii="Arial Narrow" w:hAnsi="Arial Narrow" w:cs="Arial"/>
        </w:rPr>
        <w:t>ii</w:t>
      </w:r>
      <w:proofErr w:type="spellEnd"/>
      <w:r w:rsidRPr="00DA7BA2">
        <w:rPr>
          <w:rFonts w:ascii="Arial Narrow" w:hAnsi="Arial Narrow" w:cs="Arial"/>
        </w:rPr>
        <w:t>) el estudio de fallos con responsabilidad fiscal en firme, emitidos tanto por contralorías territoriales como por la Contraloría General de la República.</w:t>
      </w:r>
    </w:p>
    <w:p w14:paraId="782EE5C7" w14:textId="77777777" w:rsidR="00DA7BA2" w:rsidRPr="00DA7BA2" w:rsidRDefault="00DA7BA2" w:rsidP="00DA7BA2">
      <w:pPr>
        <w:spacing w:line="360" w:lineRule="auto"/>
        <w:ind w:firstLine="567"/>
        <w:jc w:val="both"/>
        <w:rPr>
          <w:rFonts w:ascii="Arial Narrow" w:hAnsi="Arial Narrow" w:cs="Arial"/>
        </w:rPr>
      </w:pPr>
    </w:p>
    <w:p w14:paraId="3A320931" w14:textId="77777777" w:rsidR="00DA7BA2" w:rsidRPr="00DA7BA2" w:rsidRDefault="00DA7BA2" w:rsidP="00DA7BA2">
      <w:pPr>
        <w:spacing w:line="360" w:lineRule="auto"/>
        <w:ind w:firstLine="567"/>
        <w:jc w:val="both"/>
        <w:rPr>
          <w:rFonts w:ascii="Arial Narrow" w:hAnsi="Arial Narrow" w:cs="Arial"/>
        </w:rPr>
      </w:pPr>
      <w:r w:rsidRPr="00DA7BA2">
        <w:rPr>
          <w:rFonts w:ascii="Arial Narrow" w:hAnsi="Arial Narrow" w:cs="Arial"/>
        </w:rPr>
        <w:t xml:space="preserve">Así las cosas, los </w:t>
      </w:r>
      <w:r w:rsidRPr="00DA7BA2">
        <w:rPr>
          <w:rFonts w:ascii="Arial Narrow" w:hAnsi="Arial Narrow" w:cs="Arial"/>
          <w:i/>
          <w:iCs/>
        </w:rPr>
        <w:t>puntos de riesgo fiscal</w:t>
      </w:r>
      <w:r w:rsidRPr="00DA7BA2">
        <w:rPr>
          <w:rFonts w:ascii="Arial Narrow" w:hAnsi="Arial Narrow" w:cs="Arial"/>
        </w:rPr>
        <w:t xml:space="preserve"> que se enuncian en este catálogo indicativo y enunciativo corresponden a actividades que representan gestión fiscal, por ejemplo, aquellas de administración, gestión, ordenación, ejecución, manejo, adquisición, planeación, conservación, custodia, explotación, enajenación, consumo, adjudicación, gasto, inversión y disposición de los bienes o recursos públicos o intereses de naturaleza pública y que potencialmente pueden generar un efecto dañoso al patrimonio público.</w:t>
      </w:r>
    </w:p>
    <w:p w14:paraId="2C97670E" w14:textId="77777777" w:rsidR="00DA7BA2" w:rsidRPr="00DA7BA2" w:rsidRDefault="00DA7BA2" w:rsidP="00DA7BA2">
      <w:pPr>
        <w:spacing w:line="360" w:lineRule="auto"/>
        <w:ind w:left="720" w:firstLine="567"/>
        <w:jc w:val="both"/>
        <w:rPr>
          <w:rFonts w:ascii="Arial Narrow" w:hAnsi="Arial Narrow" w:cs="Arial"/>
        </w:rPr>
      </w:pPr>
    </w:p>
    <w:p w14:paraId="47595E26" w14:textId="77777777" w:rsidR="00DA7BA2" w:rsidRPr="00DA7BA2" w:rsidRDefault="00DA7BA2" w:rsidP="00DA7BA2">
      <w:pPr>
        <w:spacing w:line="360" w:lineRule="auto"/>
        <w:ind w:firstLine="567"/>
        <w:jc w:val="both"/>
        <w:rPr>
          <w:rFonts w:ascii="Arial Narrow" w:hAnsi="Arial Narrow" w:cs="Arial"/>
        </w:rPr>
      </w:pPr>
      <w:r w:rsidRPr="00DA7BA2">
        <w:rPr>
          <w:rFonts w:ascii="Arial Narrow" w:hAnsi="Arial Narrow" w:cs="Arial"/>
        </w:rPr>
        <w:t xml:space="preserve">Este listado enunciativo y no restrictivo, también posibilita identificar y conocer las </w:t>
      </w:r>
      <w:r w:rsidRPr="00DA7BA2">
        <w:rPr>
          <w:rFonts w:ascii="Arial Narrow" w:hAnsi="Arial Narrow" w:cs="Arial"/>
          <w:i/>
          <w:iCs/>
        </w:rPr>
        <w:t>Circunstancias Inmediatas</w:t>
      </w:r>
      <w:r w:rsidRPr="00DA7BA2">
        <w:rPr>
          <w:rFonts w:ascii="Arial Narrow" w:hAnsi="Arial Narrow" w:cs="Arial"/>
        </w:rPr>
        <w:t xml:space="preserve"> más comunes en la gestión pública, que se derivan de los </w:t>
      </w:r>
      <w:r w:rsidRPr="00DA7BA2">
        <w:rPr>
          <w:rFonts w:ascii="Arial Narrow" w:hAnsi="Arial Narrow" w:cs="Arial"/>
          <w:i/>
          <w:iCs/>
        </w:rPr>
        <w:t>Puntos de Riesgo Fiscal.</w:t>
      </w:r>
    </w:p>
    <w:p w14:paraId="4A7DBE62" w14:textId="77777777" w:rsidR="00DA7BA2" w:rsidRPr="00DA7BA2" w:rsidRDefault="00DA7BA2" w:rsidP="00DA7BA2">
      <w:pPr>
        <w:spacing w:line="360" w:lineRule="auto"/>
        <w:ind w:firstLine="567"/>
        <w:jc w:val="both"/>
        <w:rPr>
          <w:rFonts w:ascii="Arial Narrow" w:hAnsi="Arial Narrow" w:cs="Arial"/>
        </w:rPr>
      </w:pPr>
    </w:p>
    <w:p w14:paraId="1C8929D7" w14:textId="4DF4A3E1" w:rsidR="00DA7BA2" w:rsidRPr="00DA7BA2" w:rsidRDefault="00DA7BA2" w:rsidP="00877D6B">
      <w:pPr>
        <w:spacing w:line="360" w:lineRule="auto"/>
        <w:ind w:firstLine="567"/>
        <w:jc w:val="both"/>
        <w:rPr>
          <w:rFonts w:ascii="Arial Narrow" w:hAnsi="Arial Narrow" w:cs="Arial"/>
        </w:rPr>
      </w:pPr>
      <w:r w:rsidRPr="00DA7BA2">
        <w:rPr>
          <w:rFonts w:ascii="Arial Narrow" w:hAnsi="Arial Narrow" w:cs="Arial"/>
        </w:rPr>
        <w:t xml:space="preserve">Así las cosas, como resultado del análisis de más de 130 fallos con responsabilidad fiscal tanto de contralorías territoriales como de la Contraloría General de la República, fue posible identificar 50 </w:t>
      </w:r>
      <w:r w:rsidRPr="00DA7BA2">
        <w:rPr>
          <w:rFonts w:ascii="Arial Narrow" w:hAnsi="Arial Narrow" w:cs="Arial"/>
          <w:i/>
          <w:iCs/>
        </w:rPr>
        <w:t>puntos de riesgo fiscal</w:t>
      </w:r>
      <w:r w:rsidRPr="00DA7BA2">
        <w:rPr>
          <w:rFonts w:ascii="Arial Narrow" w:hAnsi="Arial Narrow" w:cs="Arial"/>
        </w:rPr>
        <w:t xml:space="preserve"> e igual número de </w:t>
      </w:r>
      <w:r w:rsidRPr="00DA7BA2">
        <w:rPr>
          <w:rFonts w:ascii="Arial Narrow" w:hAnsi="Arial Narrow" w:cs="Arial"/>
          <w:i/>
          <w:iCs/>
        </w:rPr>
        <w:t xml:space="preserve">circunstancias inmediatas, </w:t>
      </w:r>
      <w:r w:rsidRPr="00DA7BA2">
        <w:rPr>
          <w:rFonts w:ascii="Arial Narrow" w:hAnsi="Arial Narrow" w:cs="Arial"/>
        </w:rPr>
        <w:t>así</w:t>
      </w:r>
      <w:r w:rsidRPr="00DA7BA2">
        <w:rPr>
          <w:rFonts w:ascii="Arial Narrow" w:hAnsi="Arial Narrow" w:cs="Arial"/>
          <w:i/>
          <w:iCs/>
        </w:rPr>
        <w:t>:</w:t>
      </w:r>
    </w:p>
    <w:p w14:paraId="5516DE4B" w14:textId="77777777" w:rsidR="00DA7BA2" w:rsidRPr="00DA7BA2" w:rsidRDefault="00DA7BA2" w:rsidP="00DA7BA2">
      <w:pPr>
        <w:jc w:val="both"/>
        <w:rPr>
          <w:rFonts w:ascii="Arial Narrow" w:hAnsi="Arial Narrow" w:cs="Arial"/>
        </w:rPr>
      </w:pPr>
    </w:p>
    <w:tbl>
      <w:tblPr>
        <w:tblStyle w:val="Tabladelista1clara"/>
        <w:tblW w:w="0" w:type="auto"/>
        <w:jc w:val="center"/>
        <w:tblLook w:val="04A0" w:firstRow="1" w:lastRow="0" w:firstColumn="1" w:lastColumn="0" w:noHBand="0" w:noVBand="1"/>
      </w:tblPr>
      <w:tblGrid>
        <w:gridCol w:w="1139"/>
        <w:gridCol w:w="4899"/>
        <w:gridCol w:w="6662"/>
      </w:tblGrid>
      <w:tr w:rsidR="00DA7BA2" w:rsidRPr="006660AA" w14:paraId="19C4D311" w14:textId="77777777" w:rsidTr="006660AA">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95ABE22"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Id Referencia</w:t>
            </w:r>
          </w:p>
        </w:tc>
        <w:tc>
          <w:tcPr>
            <w:tcW w:w="4899" w:type="dxa"/>
            <w:vAlign w:val="center"/>
          </w:tcPr>
          <w:p w14:paraId="593D04DA" w14:textId="77777777" w:rsidR="00DA7BA2" w:rsidRPr="006660AA" w:rsidRDefault="00DA7BA2" w:rsidP="006660AA">
            <w:pPr>
              <w:ind w:hanging="12"/>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22"/>
                <w:szCs w:val="22"/>
              </w:rPr>
            </w:pPr>
            <w:r w:rsidRPr="006660AA">
              <w:rPr>
                <w:rFonts w:ascii="Arial Narrow" w:hAnsi="Arial Narrow" w:cs="Arial"/>
                <w:sz w:val="22"/>
                <w:szCs w:val="22"/>
              </w:rPr>
              <w:t>Puntos de Riesgo Fiscal</w:t>
            </w:r>
          </w:p>
          <w:p w14:paraId="14F00B9F" w14:textId="1AA656BB" w:rsidR="00DA7BA2" w:rsidRPr="006660AA" w:rsidRDefault="006660AA" w:rsidP="006660AA">
            <w:pPr>
              <w:ind w:hanging="12"/>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i/>
                <w:iCs/>
                <w:sz w:val="22"/>
                <w:szCs w:val="22"/>
              </w:rPr>
            </w:pPr>
            <w:r>
              <w:rPr>
                <w:rFonts w:ascii="Arial Narrow" w:hAnsi="Arial Narrow" w:cs="Arial"/>
                <w:i/>
                <w:iCs/>
                <w:sz w:val="22"/>
                <w:szCs w:val="22"/>
              </w:rPr>
              <w:t>(</w:t>
            </w:r>
            <w:r w:rsidR="00DA7BA2" w:rsidRPr="006660AA">
              <w:rPr>
                <w:rFonts w:ascii="Arial Narrow" w:hAnsi="Arial Narrow" w:cs="Arial"/>
                <w:i/>
                <w:iCs/>
                <w:sz w:val="22"/>
                <w:szCs w:val="22"/>
              </w:rPr>
              <w:t xml:space="preserve">Actividad </w:t>
            </w:r>
            <w:r>
              <w:rPr>
                <w:rFonts w:ascii="Arial Narrow" w:hAnsi="Arial Narrow" w:cs="Arial"/>
                <w:i/>
                <w:iCs/>
                <w:sz w:val="22"/>
                <w:szCs w:val="22"/>
              </w:rPr>
              <w:t xml:space="preserve">de gestión fiscal </w:t>
            </w:r>
            <w:r w:rsidR="00DA7BA2" w:rsidRPr="006660AA">
              <w:rPr>
                <w:rFonts w:ascii="Arial Narrow" w:hAnsi="Arial Narrow" w:cs="Arial"/>
                <w:i/>
                <w:iCs/>
                <w:sz w:val="22"/>
                <w:szCs w:val="22"/>
              </w:rPr>
              <w:t>en la que potencialmente se origina el riesgo fiscal</w:t>
            </w:r>
            <w:r>
              <w:rPr>
                <w:rFonts w:ascii="Arial Narrow" w:hAnsi="Arial Narrow" w:cs="Arial"/>
                <w:i/>
                <w:iCs/>
                <w:sz w:val="22"/>
                <w:szCs w:val="22"/>
              </w:rPr>
              <w:t>)</w:t>
            </w:r>
          </w:p>
        </w:tc>
        <w:tc>
          <w:tcPr>
            <w:tcW w:w="6662" w:type="dxa"/>
            <w:vAlign w:val="center"/>
          </w:tcPr>
          <w:p w14:paraId="57FA7FDE" w14:textId="77777777" w:rsidR="00DA7BA2" w:rsidRPr="006660AA" w:rsidRDefault="00DA7BA2" w:rsidP="006660AA">
            <w:pPr>
              <w:ind w:firstLine="10"/>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b w:val="0"/>
                <w:bCs w:val="0"/>
                <w:sz w:val="22"/>
                <w:szCs w:val="22"/>
              </w:rPr>
            </w:pPr>
            <w:r w:rsidRPr="006660AA">
              <w:rPr>
                <w:rFonts w:ascii="Arial Narrow" w:hAnsi="Arial Narrow" w:cs="Arial"/>
                <w:sz w:val="22"/>
                <w:szCs w:val="22"/>
              </w:rPr>
              <w:t>Circunstancia Inmediata</w:t>
            </w:r>
          </w:p>
          <w:p w14:paraId="40084ED3" w14:textId="6D0CF3EB" w:rsidR="00DA7BA2" w:rsidRPr="006660AA" w:rsidRDefault="006660AA" w:rsidP="006660AA">
            <w:pPr>
              <w:ind w:firstLine="10"/>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i/>
                <w:iCs/>
                <w:sz w:val="22"/>
                <w:szCs w:val="22"/>
              </w:rPr>
            </w:pPr>
            <w:r>
              <w:rPr>
                <w:rFonts w:ascii="Arial Narrow" w:hAnsi="Arial Narrow" w:cs="Arial"/>
                <w:i/>
                <w:iCs/>
                <w:color w:val="000000" w:themeColor="text1"/>
                <w:sz w:val="22"/>
                <w:szCs w:val="22"/>
              </w:rPr>
              <w:t>(</w:t>
            </w:r>
            <w:r w:rsidR="00DA7BA2" w:rsidRPr="006660AA">
              <w:rPr>
                <w:rFonts w:ascii="Arial Narrow" w:hAnsi="Arial Narrow" w:cs="Arial"/>
                <w:i/>
                <w:iCs/>
                <w:color w:val="000000" w:themeColor="text1"/>
                <w:sz w:val="22"/>
                <w:szCs w:val="22"/>
              </w:rPr>
              <w:t xml:space="preserve">Situación </w:t>
            </w:r>
            <w:r w:rsidR="00DA7BA2" w:rsidRPr="006660AA">
              <w:rPr>
                <w:rFonts w:ascii="Arial Narrow" w:hAnsi="Arial Narrow" w:cs="Arial"/>
                <w:i/>
                <w:iCs/>
                <w:color w:val="000000" w:themeColor="text1"/>
                <w:sz w:val="22"/>
                <w:szCs w:val="22"/>
                <w:u w:val="single"/>
              </w:rPr>
              <w:t>por la que</w:t>
            </w:r>
            <w:r w:rsidR="00DA7BA2" w:rsidRPr="006660AA">
              <w:rPr>
                <w:rFonts w:ascii="Arial Narrow" w:hAnsi="Arial Narrow" w:cs="Arial"/>
                <w:i/>
                <w:iCs/>
                <w:color w:val="000000" w:themeColor="text1"/>
                <w:sz w:val="22"/>
                <w:szCs w:val="22"/>
              </w:rPr>
              <w:t xml:space="preserve"> se presenta el riesgo</w:t>
            </w:r>
            <w:r>
              <w:rPr>
                <w:rFonts w:ascii="Arial Narrow" w:hAnsi="Arial Narrow" w:cs="Arial"/>
                <w:i/>
                <w:iCs/>
                <w:color w:val="000000" w:themeColor="text1"/>
                <w:sz w:val="22"/>
                <w:szCs w:val="22"/>
              </w:rPr>
              <w:t>)</w:t>
            </w:r>
          </w:p>
        </w:tc>
      </w:tr>
      <w:tr w:rsidR="00DA7BA2" w:rsidRPr="006660AA" w14:paraId="4C28E713"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2EE1E18F"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w:t>
            </w:r>
          </w:p>
        </w:tc>
        <w:tc>
          <w:tcPr>
            <w:tcW w:w="4899" w:type="dxa"/>
            <w:vAlign w:val="center"/>
          </w:tcPr>
          <w:p w14:paraId="2A96EF23" w14:textId="2104D163"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Cumplimiento de las normas y obligaciones ante autoridades</w:t>
            </w:r>
          </w:p>
        </w:tc>
        <w:tc>
          <w:tcPr>
            <w:tcW w:w="6662" w:type="dxa"/>
            <w:vAlign w:val="center"/>
          </w:tcPr>
          <w:p w14:paraId="7B60D06D"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multas, cláusulas penales o cualquier tipo de sanción</w:t>
            </w:r>
          </w:p>
        </w:tc>
      </w:tr>
      <w:tr w:rsidR="00DA7BA2" w:rsidRPr="006660AA" w14:paraId="0AFBB356"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583598F2"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w:t>
            </w:r>
          </w:p>
        </w:tc>
        <w:tc>
          <w:tcPr>
            <w:tcW w:w="4899" w:type="dxa"/>
            <w:vAlign w:val="center"/>
          </w:tcPr>
          <w:p w14:paraId="1B395BFA" w14:textId="50E18666"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Cumplimiento de obligaciones</w:t>
            </w:r>
          </w:p>
        </w:tc>
        <w:tc>
          <w:tcPr>
            <w:tcW w:w="6662" w:type="dxa"/>
            <w:vAlign w:val="center"/>
          </w:tcPr>
          <w:p w14:paraId="028A340E"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Intereses moratorios</w:t>
            </w:r>
          </w:p>
        </w:tc>
      </w:tr>
      <w:tr w:rsidR="00DA7BA2" w:rsidRPr="006660AA" w14:paraId="5BC28007"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51BB133"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w:t>
            </w:r>
          </w:p>
        </w:tc>
        <w:tc>
          <w:tcPr>
            <w:tcW w:w="4899" w:type="dxa"/>
            <w:vAlign w:val="center"/>
          </w:tcPr>
          <w:p w14:paraId="4269E2E2" w14:textId="76EDE32C"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Desplazamientos de los funcionarios y de los contratistas a lugares diferentes al domicilio </w:t>
            </w:r>
            <w:proofErr w:type="gramStart"/>
            <w:r w:rsidRPr="006660AA">
              <w:rPr>
                <w:rFonts w:ascii="Arial Narrow" w:hAnsi="Arial Narrow" w:cs="Arial"/>
                <w:sz w:val="22"/>
                <w:szCs w:val="22"/>
              </w:rPr>
              <w:t>dela</w:t>
            </w:r>
            <w:proofErr w:type="gramEnd"/>
            <w:r w:rsidRPr="006660AA">
              <w:rPr>
                <w:rFonts w:ascii="Arial Narrow" w:hAnsi="Arial Narrow" w:cs="Arial"/>
                <w:sz w:val="22"/>
                <w:szCs w:val="22"/>
              </w:rPr>
              <w:t xml:space="preserve"> entidad.</w:t>
            </w:r>
          </w:p>
        </w:tc>
        <w:tc>
          <w:tcPr>
            <w:tcW w:w="6662" w:type="dxa"/>
            <w:vAlign w:val="center"/>
          </w:tcPr>
          <w:p w14:paraId="7331E246"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viáticos, honorarios o gastos de desplazamiento sin justificación o por encima de los valores establecidos normativamente</w:t>
            </w:r>
          </w:p>
        </w:tc>
      </w:tr>
      <w:tr w:rsidR="00DA7BA2" w:rsidRPr="006660AA" w14:paraId="228B46B9"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4FB67C43"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w:t>
            </w:r>
          </w:p>
        </w:tc>
        <w:tc>
          <w:tcPr>
            <w:tcW w:w="4899" w:type="dxa"/>
            <w:vAlign w:val="center"/>
          </w:tcPr>
          <w:p w14:paraId="26C9E983"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Liquidación de impuestos</w:t>
            </w:r>
          </w:p>
        </w:tc>
        <w:tc>
          <w:tcPr>
            <w:tcW w:w="6662" w:type="dxa"/>
            <w:vAlign w:val="center"/>
          </w:tcPr>
          <w:p w14:paraId="2B1011E5"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Mayor valor pagado por concepto de impuestos</w:t>
            </w:r>
          </w:p>
        </w:tc>
      </w:tr>
      <w:tr w:rsidR="00DA7BA2" w:rsidRPr="006660AA" w14:paraId="2E600EFE"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5424FA74"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5</w:t>
            </w:r>
          </w:p>
        </w:tc>
        <w:tc>
          <w:tcPr>
            <w:tcW w:w="4899" w:type="dxa"/>
            <w:vAlign w:val="center"/>
          </w:tcPr>
          <w:p w14:paraId="29A9066A" w14:textId="1F31134F"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Operaciones, actas o actos en los que se reconocen saldos a favor de la entidad</w:t>
            </w:r>
          </w:p>
        </w:tc>
        <w:tc>
          <w:tcPr>
            <w:tcW w:w="6662" w:type="dxa"/>
            <w:vAlign w:val="center"/>
          </w:tcPr>
          <w:p w14:paraId="5467D4EB"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Saldos o recursos a favor no cobrados</w:t>
            </w:r>
          </w:p>
        </w:tc>
      </w:tr>
      <w:tr w:rsidR="00DA7BA2" w:rsidRPr="006660AA" w14:paraId="50E88628"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362BF506"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6</w:t>
            </w:r>
          </w:p>
        </w:tc>
        <w:tc>
          <w:tcPr>
            <w:tcW w:w="4899" w:type="dxa"/>
            <w:vAlign w:val="center"/>
          </w:tcPr>
          <w:p w14:paraId="4F63BD59" w14:textId="77777777" w:rsidR="00DA7BA2" w:rsidRPr="006660AA" w:rsidRDefault="00DA7BA2" w:rsidP="006660AA">
            <w:pPr>
              <w:pStyle w:val="Textoindependiente"/>
              <w:spacing w:line="276" w:lineRule="auto"/>
              <w:ind w:right="539"/>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Arial"/>
                <w:sz w:val="22"/>
                <w:szCs w:val="22"/>
                <w:lang w:val="es-CO"/>
              </w:rPr>
            </w:pPr>
            <w:r w:rsidRPr="006660AA">
              <w:rPr>
                <w:rFonts w:ascii="Arial Narrow" w:eastAsiaTheme="minorHAnsi" w:hAnsi="Arial Narrow" w:cs="Arial"/>
                <w:sz w:val="22"/>
                <w:szCs w:val="22"/>
                <w:lang w:val="es-CO"/>
              </w:rPr>
              <w:t>Custodiar de los bienes muebles de la entidad</w:t>
            </w:r>
          </w:p>
        </w:tc>
        <w:tc>
          <w:tcPr>
            <w:tcW w:w="6662" w:type="dxa"/>
            <w:vAlign w:val="center"/>
          </w:tcPr>
          <w:p w14:paraId="4063D4D3"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Pérdida, extravío, hurto, robo o declaratoria de bienes faltantes pertenecientes a la Entidad</w:t>
            </w:r>
          </w:p>
        </w:tc>
      </w:tr>
      <w:tr w:rsidR="00DA7BA2" w:rsidRPr="006660AA" w14:paraId="2E052A2B"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036F8EC4"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7</w:t>
            </w:r>
          </w:p>
        </w:tc>
        <w:tc>
          <w:tcPr>
            <w:tcW w:w="4899" w:type="dxa"/>
            <w:vAlign w:val="center"/>
          </w:tcPr>
          <w:p w14:paraId="69C4ADB2" w14:textId="38BE8F26"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Avalúos a bienes inmuebles de la entidad</w:t>
            </w:r>
          </w:p>
        </w:tc>
        <w:tc>
          <w:tcPr>
            <w:tcW w:w="6662" w:type="dxa"/>
            <w:vAlign w:val="center"/>
          </w:tcPr>
          <w:p w14:paraId="39488438"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Error en los avalúos, afectando el valor de venta y/o negociación de un bien público</w:t>
            </w:r>
          </w:p>
        </w:tc>
      </w:tr>
      <w:tr w:rsidR="00DA7BA2" w:rsidRPr="006660AA" w14:paraId="49E92B96"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172F7496"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8</w:t>
            </w:r>
          </w:p>
        </w:tc>
        <w:tc>
          <w:tcPr>
            <w:tcW w:w="4899" w:type="dxa"/>
            <w:vAlign w:val="center"/>
          </w:tcPr>
          <w:p w14:paraId="1298647A"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Custodiar de los bienes muebles de la entidad</w:t>
            </w:r>
          </w:p>
        </w:tc>
        <w:tc>
          <w:tcPr>
            <w:tcW w:w="6662" w:type="dxa"/>
            <w:vAlign w:val="center"/>
          </w:tcPr>
          <w:p w14:paraId="7B5368D2"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Daño en bienes muebles de propiedad de la entidad</w:t>
            </w:r>
          </w:p>
        </w:tc>
      </w:tr>
      <w:tr w:rsidR="00DA7BA2" w:rsidRPr="006660AA" w14:paraId="3629EFB1"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1139F788"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9</w:t>
            </w:r>
          </w:p>
        </w:tc>
        <w:tc>
          <w:tcPr>
            <w:tcW w:w="4899" w:type="dxa"/>
            <w:vAlign w:val="center"/>
          </w:tcPr>
          <w:p w14:paraId="77D9CE4E" w14:textId="0186694B"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Suscripción de contratos cuyo objeto es o incluye la representación judicial o extrajudicial de la entidad</w:t>
            </w:r>
          </w:p>
        </w:tc>
        <w:tc>
          <w:tcPr>
            <w:tcW w:w="6662" w:type="dxa"/>
            <w:vAlign w:val="center"/>
          </w:tcPr>
          <w:p w14:paraId="79CC857C"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Valor pagado por concepto de honorarios de apoderado cuando ocurre vencimiento de términos en los procesos judiciales o cualquier otra omisión del apoderado</w:t>
            </w:r>
          </w:p>
        </w:tc>
      </w:tr>
      <w:tr w:rsidR="00DA7BA2" w:rsidRPr="006660AA" w14:paraId="62A370A5"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01DD26B5"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10</w:t>
            </w:r>
          </w:p>
        </w:tc>
        <w:tc>
          <w:tcPr>
            <w:tcW w:w="4899" w:type="dxa"/>
            <w:vAlign w:val="center"/>
          </w:tcPr>
          <w:p w14:paraId="1C229338" w14:textId="1C821679"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sentencias y conciliaciones</w:t>
            </w:r>
          </w:p>
        </w:tc>
        <w:tc>
          <w:tcPr>
            <w:tcW w:w="6662" w:type="dxa"/>
            <w:vAlign w:val="center"/>
          </w:tcPr>
          <w:p w14:paraId="75769E4A"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Intereses moratorios por pago tardío de sentencias y conciliaciones</w:t>
            </w:r>
          </w:p>
        </w:tc>
      </w:tr>
      <w:tr w:rsidR="00DA7BA2" w:rsidRPr="006660AA" w14:paraId="63E1F09B"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33255C35"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11</w:t>
            </w:r>
          </w:p>
        </w:tc>
        <w:tc>
          <w:tcPr>
            <w:tcW w:w="4899" w:type="dxa"/>
            <w:vAlign w:val="center"/>
          </w:tcPr>
          <w:p w14:paraId="3B4F372B" w14:textId="45A4EA96"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Instrucción del Comité de Conciliación para iniciar acción de repetición</w:t>
            </w:r>
          </w:p>
        </w:tc>
        <w:tc>
          <w:tcPr>
            <w:tcW w:w="6662" w:type="dxa"/>
            <w:vAlign w:val="center"/>
          </w:tcPr>
          <w:p w14:paraId="69044542"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Caducidad de la acción de repetición o falencias en el ejercicio de esta acción, generando la imposibilidad de recuperar los recursos pagados por el Estado</w:t>
            </w:r>
          </w:p>
        </w:tc>
      </w:tr>
      <w:tr w:rsidR="00DA7BA2" w:rsidRPr="006660AA" w14:paraId="0DDFA9BF"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DD85F45"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12</w:t>
            </w:r>
          </w:p>
        </w:tc>
        <w:tc>
          <w:tcPr>
            <w:tcW w:w="4899" w:type="dxa"/>
            <w:vAlign w:val="center"/>
          </w:tcPr>
          <w:p w14:paraId="20CBC8AA" w14:textId="62C85E89"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Informe que acredite o anuncie la existencia de perjuicios generados a la entidad</w:t>
            </w:r>
          </w:p>
        </w:tc>
        <w:tc>
          <w:tcPr>
            <w:tcW w:w="6662" w:type="dxa"/>
            <w:vAlign w:val="center"/>
          </w:tcPr>
          <w:p w14:paraId="44DDD921" w14:textId="3BDF8E6D"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Omisión en la obligación de impulsar acción judicial para cobrar clausula penal u otros perjuicios</w:t>
            </w:r>
          </w:p>
        </w:tc>
      </w:tr>
      <w:tr w:rsidR="00DA7BA2" w:rsidRPr="006660AA" w14:paraId="66E004AF"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587FC74C"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13</w:t>
            </w:r>
          </w:p>
        </w:tc>
        <w:tc>
          <w:tcPr>
            <w:tcW w:w="4899" w:type="dxa"/>
            <w:vAlign w:val="center"/>
          </w:tcPr>
          <w:p w14:paraId="390D9051" w14:textId="0A67D194"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Contratación de bienes o servicios</w:t>
            </w:r>
          </w:p>
        </w:tc>
        <w:tc>
          <w:tcPr>
            <w:tcW w:w="6662" w:type="dxa"/>
            <w:vAlign w:val="center"/>
          </w:tcPr>
          <w:p w14:paraId="586647DE" w14:textId="4BDFD668"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Contratación de bienes y servicios no relacionados con las funciones de la Entidad y que no generan utilidad</w:t>
            </w:r>
          </w:p>
        </w:tc>
      </w:tr>
      <w:tr w:rsidR="00DA7BA2" w:rsidRPr="006660AA" w14:paraId="40449BC5"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3B20A323"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14</w:t>
            </w:r>
          </w:p>
        </w:tc>
        <w:tc>
          <w:tcPr>
            <w:tcW w:w="4899" w:type="dxa"/>
            <w:vAlign w:val="center"/>
          </w:tcPr>
          <w:p w14:paraId="6E1F4F54" w14:textId="65314419"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Contratación de bienes</w:t>
            </w:r>
          </w:p>
        </w:tc>
        <w:tc>
          <w:tcPr>
            <w:tcW w:w="6662" w:type="dxa"/>
            <w:vAlign w:val="center"/>
          </w:tcPr>
          <w:p w14:paraId="42332CA5"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Compra o inversión en bienes innecesarios o suntuosos</w:t>
            </w:r>
          </w:p>
        </w:tc>
      </w:tr>
      <w:tr w:rsidR="00DA7BA2" w:rsidRPr="006660AA" w14:paraId="6FADC404"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2318A8A3"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15</w:t>
            </w:r>
          </w:p>
        </w:tc>
        <w:tc>
          <w:tcPr>
            <w:tcW w:w="4899" w:type="dxa"/>
            <w:vAlign w:val="center"/>
          </w:tcPr>
          <w:p w14:paraId="040A476A" w14:textId="2E0E57A3"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Contratación de estudios y diseños</w:t>
            </w:r>
          </w:p>
        </w:tc>
        <w:tc>
          <w:tcPr>
            <w:tcW w:w="6662" w:type="dxa"/>
            <w:vAlign w:val="center"/>
          </w:tcPr>
          <w:p w14:paraId="19626AF4"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Estudios y diseños recibidos y pagados y que no cumplen condiciones de calidad</w:t>
            </w:r>
          </w:p>
        </w:tc>
      </w:tr>
      <w:tr w:rsidR="00DA7BA2" w:rsidRPr="006660AA" w14:paraId="7DA14482"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845C230"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lastRenderedPageBreak/>
              <w:t>16</w:t>
            </w:r>
          </w:p>
        </w:tc>
        <w:tc>
          <w:tcPr>
            <w:tcW w:w="4899" w:type="dxa"/>
            <w:vAlign w:val="center"/>
          </w:tcPr>
          <w:p w14:paraId="2737ABA4"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Suscripción de contratos de estudios y diseños</w:t>
            </w:r>
          </w:p>
        </w:tc>
        <w:tc>
          <w:tcPr>
            <w:tcW w:w="6662" w:type="dxa"/>
            <w:vAlign w:val="center"/>
          </w:tcPr>
          <w:p w14:paraId="1DC08454"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Estudios y diseños con amparo de calidad vencido al momento de contratar la obra y/o al momento de la ocurrencia</w:t>
            </w:r>
          </w:p>
        </w:tc>
      </w:tr>
      <w:tr w:rsidR="00DA7BA2" w:rsidRPr="006660AA" w14:paraId="4E98B80F"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2ECE1FB2"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17</w:t>
            </w:r>
          </w:p>
        </w:tc>
        <w:tc>
          <w:tcPr>
            <w:tcW w:w="4899" w:type="dxa"/>
          </w:tcPr>
          <w:p w14:paraId="34A2BBDE"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Suscripción de contratos</w:t>
            </w:r>
          </w:p>
        </w:tc>
        <w:tc>
          <w:tcPr>
            <w:tcW w:w="6662" w:type="dxa"/>
          </w:tcPr>
          <w:p w14:paraId="620E0312" w14:textId="6368F549"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Sobrecostos en precios contractuales</w:t>
            </w:r>
          </w:p>
        </w:tc>
      </w:tr>
      <w:tr w:rsidR="00DA7BA2" w:rsidRPr="006660AA" w14:paraId="0EB5E9BC"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53D9EE37"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18</w:t>
            </w:r>
          </w:p>
        </w:tc>
        <w:tc>
          <w:tcPr>
            <w:tcW w:w="4899" w:type="dxa"/>
          </w:tcPr>
          <w:p w14:paraId="6A949ADB"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Suscripción de contratos</w:t>
            </w:r>
          </w:p>
        </w:tc>
        <w:tc>
          <w:tcPr>
            <w:tcW w:w="6662" w:type="dxa"/>
          </w:tcPr>
          <w:p w14:paraId="6205AC75" w14:textId="4C96D254"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Pagos efectuados a causa de riesgos previsibles que debieron ser asignados al contratista en la matriz de riesgos previsibles y no se le asignaron</w:t>
            </w:r>
          </w:p>
        </w:tc>
      </w:tr>
      <w:tr w:rsidR="00DA7BA2" w:rsidRPr="006660AA" w14:paraId="75C6FC7F"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3D493FB"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19</w:t>
            </w:r>
          </w:p>
        </w:tc>
        <w:tc>
          <w:tcPr>
            <w:tcW w:w="4899" w:type="dxa"/>
          </w:tcPr>
          <w:p w14:paraId="3D3DF759"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Suscripción de contratos</w:t>
            </w:r>
          </w:p>
        </w:tc>
        <w:tc>
          <w:tcPr>
            <w:tcW w:w="6662" w:type="dxa"/>
          </w:tcPr>
          <w:p w14:paraId="0D46F238" w14:textId="510FAE11"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No incluir en el contrato de seguros -amparo de bienes de la entidad- todos los bienes muebles e inmuebles de la entidad</w:t>
            </w:r>
          </w:p>
        </w:tc>
      </w:tr>
      <w:tr w:rsidR="00DA7BA2" w:rsidRPr="006660AA" w14:paraId="4475D7B5"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DD19024"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20</w:t>
            </w:r>
          </w:p>
        </w:tc>
        <w:tc>
          <w:tcPr>
            <w:tcW w:w="4899" w:type="dxa"/>
          </w:tcPr>
          <w:p w14:paraId="1B93A699"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Suscripción de contratos</w:t>
            </w:r>
          </w:p>
        </w:tc>
        <w:tc>
          <w:tcPr>
            <w:tcW w:w="6662" w:type="dxa"/>
          </w:tcPr>
          <w:p w14:paraId="0A6AF641" w14:textId="61959BF0"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No exigir garantía única de cumplimiento contractual</w:t>
            </w:r>
          </w:p>
        </w:tc>
      </w:tr>
      <w:tr w:rsidR="00DA7BA2" w:rsidRPr="006660AA" w14:paraId="7B7560E8"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7E10827"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21</w:t>
            </w:r>
          </w:p>
        </w:tc>
        <w:tc>
          <w:tcPr>
            <w:tcW w:w="4899" w:type="dxa"/>
          </w:tcPr>
          <w:p w14:paraId="0F02B25D"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Suscripción de contratos respecto de los cuales la ley establece un cubrimiento mínimo en los amparos de la garantía única de cumplimiento </w:t>
            </w:r>
          </w:p>
        </w:tc>
        <w:tc>
          <w:tcPr>
            <w:tcW w:w="6662" w:type="dxa"/>
          </w:tcPr>
          <w:p w14:paraId="7581465D" w14:textId="438C3741"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Exigir garantía única de cumplimiento contractual con un cubrimiento inferior al exigido por la ley</w:t>
            </w:r>
          </w:p>
        </w:tc>
      </w:tr>
      <w:tr w:rsidR="00DA7BA2" w:rsidRPr="006660AA" w14:paraId="1176AEF0"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1139FB0"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22</w:t>
            </w:r>
          </w:p>
        </w:tc>
        <w:tc>
          <w:tcPr>
            <w:tcW w:w="4899" w:type="dxa"/>
          </w:tcPr>
          <w:p w14:paraId="48E20312"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Pagos efectuados a contratistas </w:t>
            </w:r>
          </w:p>
        </w:tc>
        <w:tc>
          <w:tcPr>
            <w:tcW w:w="6662" w:type="dxa"/>
          </w:tcPr>
          <w:p w14:paraId="219CA51B" w14:textId="7530961F"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Pagar bienes, servicios u obras a pesar de no cumplir las condiciones de calidad.</w:t>
            </w:r>
          </w:p>
        </w:tc>
      </w:tr>
      <w:tr w:rsidR="00DA7BA2" w:rsidRPr="006660AA" w14:paraId="317874A8"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1121F486"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23</w:t>
            </w:r>
          </w:p>
        </w:tc>
        <w:tc>
          <w:tcPr>
            <w:tcW w:w="4899" w:type="dxa"/>
          </w:tcPr>
          <w:p w14:paraId="5EAE6928"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Constancias de recibo a satisfacción de bienes, servicios u obras, firmadas por supervisor o interventor </w:t>
            </w:r>
          </w:p>
        </w:tc>
        <w:tc>
          <w:tcPr>
            <w:tcW w:w="6662" w:type="dxa"/>
          </w:tcPr>
          <w:p w14:paraId="64051160"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Bienes, servicios u obras inconclusos, </w:t>
            </w:r>
            <w:proofErr w:type="spellStart"/>
            <w:r w:rsidRPr="006660AA">
              <w:rPr>
                <w:rFonts w:ascii="Arial Narrow" w:hAnsi="Arial Narrow" w:cs="Arial"/>
                <w:sz w:val="22"/>
                <w:szCs w:val="22"/>
              </w:rPr>
              <w:t>infuncionales</w:t>
            </w:r>
            <w:proofErr w:type="spellEnd"/>
            <w:r w:rsidRPr="006660AA">
              <w:rPr>
                <w:rFonts w:ascii="Arial Narrow" w:hAnsi="Arial Narrow" w:cs="Arial"/>
                <w:sz w:val="22"/>
                <w:szCs w:val="22"/>
              </w:rPr>
              <w:t xml:space="preserve"> y/o que no brindan utilidad o beneficio</w:t>
            </w:r>
          </w:p>
        </w:tc>
      </w:tr>
      <w:tr w:rsidR="00DA7BA2" w:rsidRPr="006660AA" w14:paraId="7848F1D7"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5201045"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24</w:t>
            </w:r>
          </w:p>
        </w:tc>
        <w:tc>
          <w:tcPr>
            <w:tcW w:w="4899" w:type="dxa"/>
          </w:tcPr>
          <w:p w14:paraId="6A1D0C98"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 Modificaciones contractuales firmadas </w:t>
            </w:r>
          </w:p>
        </w:tc>
        <w:tc>
          <w:tcPr>
            <w:tcW w:w="6662" w:type="dxa"/>
          </w:tcPr>
          <w:p w14:paraId="777901DA"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Modificaciones contractuales cuyas causas son imputables al contratista total o parcialmente y cuyos costos colaterales asume la Entidad contratante</w:t>
            </w:r>
          </w:p>
        </w:tc>
      </w:tr>
      <w:tr w:rsidR="00DA7BA2" w:rsidRPr="006660AA" w14:paraId="2FD70433"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2172C9CE"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25</w:t>
            </w:r>
          </w:p>
        </w:tc>
        <w:tc>
          <w:tcPr>
            <w:tcW w:w="4899" w:type="dxa"/>
          </w:tcPr>
          <w:p w14:paraId="4BB4B1B0"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Giros efectuados por concepto de anticipo contractual </w:t>
            </w:r>
          </w:p>
        </w:tc>
        <w:tc>
          <w:tcPr>
            <w:tcW w:w="6662" w:type="dxa"/>
          </w:tcPr>
          <w:p w14:paraId="6E117C36"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Mal manejo o fallas en la legalización de anticipos, no amortización del anticipo</w:t>
            </w:r>
          </w:p>
        </w:tc>
      </w:tr>
      <w:tr w:rsidR="00DA7BA2" w:rsidRPr="006660AA" w14:paraId="67CB55A1"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6C8F79C"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26</w:t>
            </w:r>
          </w:p>
        </w:tc>
        <w:tc>
          <w:tcPr>
            <w:tcW w:w="4899" w:type="dxa"/>
          </w:tcPr>
          <w:p w14:paraId="46D008C4"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Giros efectuados por concepto de anticipo contractual</w:t>
            </w:r>
          </w:p>
        </w:tc>
        <w:tc>
          <w:tcPr>
            <w:tcW w:w="6662" w:type="dxa"/>
          </w:tcPr>
          <w:p w14:paraId="35ED3307"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Rendimientos financieros de recursos de anticipo o de cualquier recurso público no devueltos al tesoro público</w:t>
            </w:r>
          </w:p>
        </w:tc>
      </w:tr>
      <w:tr w:rsidR="00DA7BA2" w:rsidRPr="006660AA" w14:paraId="0E8059D0"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EA0E344"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27</w:t>
            </w:r>
          </w:p>
        </w:tc>
        <w:tc>
          <w:tcPr>
            <w:tcW w:w="4899" w:type="dxa"/>
          </w:tcPr>
          <w:p w14:paraId="7D3BA97A"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Reconocimiento y pago de desequilibrio contractual</w:t>
            </w:r>
          </w:p>
        </w:tc>
        <w:tc>
          <w:tcPr>
            <w:tcW w:w="6662" w:type="dxa"/>
          </w:tcPr>
          <w:p w14:paraId="74E19E3C"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Reconocimiento y pago de desequilibrio contractual por causa imputable a la Entidad</w:t>
            </w:r>
          </w:p>
        </w:tc>
      </w:tr>
      <w:tr w:rsidR="00DA7BA2" w:rsidRPr="006660AA" w14:paraId="1D419876"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D023755"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28</w:t>
            </w:r>
          </w:p>
        </w:tc>
        <w:tc>
          <w:tcPr>
            <w:tcW w:w="4899" w:type="dxa"/>
          </w:tcPr>
          <w:p w14:paraId="0911AF9E"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Firma de actas contractuales de recibo parcial o final </w:t>
            </w:r>
          </w:p>
        </w:tc>
        <w:tc>
          <w:tcPr>
            <w:tcW w:w="6662" w:type="dxa"/>
          </w:tcPr>
          <w:p w14:paraId="068AFE11"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Errores o imprecisiones en las actas de recibo parcial o final</w:t>
            </w:r>
          </w:p>
        </w:tc>
      </w:tr>
      <w:tr w:rsidR="00DA7BA2" w:rsidRPr="006660AA" w14:paraId="0FABC6A9"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882A8E0"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29</w:t>
            </w:r>
          </w:p>
        </w:tc>
        <w:tc>
          <w:tcPr>
            <w:tcW w:w="4899" w:type="dxa"/>
          </w:tcPr>
          <w:p w14:paraId="47959A8D"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Firma de adiciones de ítems, actividades o productos no previstos (contratos adicionales)</w:t>
            </w:r>
          </w:p>
        </w:tc>
        <w:tc>
          <w:tcPr>
            <w:tcW w:w="6662" w:type="dxa"/>
          </w:tcPr>
          <w:p w14:paraId="5156F2C1"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Adición de ítem, actividad o producto no previsto sin estudio de mercado y/o con sobrecosto</w:t>
            </w:r>
          </w:p>
        </w:tc>
      </w:tr>
      <w:tr w:rsidR="00DA7BA2" w:rsidRPr="006660AA" w14:paraId="302909C8"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4BF0EE20"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30</w:t>
            </w:r>
          </w:p>
        </w:tc>
        <w:tc>
          <w:tcPr>
            <w:tcW w:w="4899" w:type="dxa"/>
          </w:tcPr>
          <w:p w14:paraId="74EC2C52"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Firma de adiciones de ítems, actividades o productos inicialmente previstos (adiciones)</w:t>
            </w:r>
          </w:p>
        </w:tc>
        <w:tc>
          <w:tcPr>
            <w:tcW w:w="6662" w:type="dxa"/>
          </w:tcPr>
          <w:p w14:paraId="236D38CE"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Mayores cantidades reconocidas y pagadas con valores unitarios superiores al pactado en el contrato</w:t>
            </w:r>
          </w:p>
        </w:tc>
      </w:tr>
      <w:tr w:rsidR="00DA7BA2" w:rsidRPr="006660AA" w14:paraId="39E320FD"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31691A6B"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31</w:t>
            </w:r>
          </w:p>
        </w:tc>
        <w:tc>
          <w:tcPr>
            <w:tcW w:w="4899" w:type="dxa"/>
          </w:tcPr>
          <w:p w14:paraId="28274FC4"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Actos administrativos sancionatorios contractuales emitidos y ejecutoriados </w:t>
            </w:r>
          </w:p>
        </w:tc>
        <w:tc>
          <w:tcPr>
            <w:tcW w:w="6662" w:type="dxa"/>
          </w:tcPr>
          <w:p w14:paraId="072BE454" w14:textId="63FC1779"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Cuantificación errada de multa o clausula penal</w:t>
            </w:r>
          </w:p>
        </w:tc>
      </w:tr>
      <w:tr w:rsidR="00DA7BA2" w:rsidRPr="006660AA" w14:paraId="5BB2A3D3"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597565C5"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32</w:t>
            </w:r>
          </w:p>
        </w:tc>
        <w:tc>
          <w:tcPr>
            <w:tcW w:w="4899" w:type="dxa"/>
          </w:tcPr>
          <w:p w14:paraId="07CE2AEF"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Obras recibidas a satisfacción </w:t>
            </w:r>
          </w:p>
        </w:tc>
        <w:tc>
          <w:tcPr>
            <w:tcW w:w="6662" w:type="dxa"/>
          </w:tcPr>
          <w:p w14:paraId="0B51C9AD"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Colapso o fallas en la estabilidad de la obra</w:t>
            </w:r>
          </w:p>
        </w:tc>
      </w:tr>
      <w:tr w:rsidR="00DA7BA2" w:rsidRPr="006660AA" w14:paraId="7503B8F3"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F43B568"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33</w:t>
            </w:r>
          </w:p>
        </w:tc>
        <w:tc>
          <w:tcPr>
            <w:tcW w:w="4899" w:type="dxa"/>
          </w:tcPr>
          <w:p w14:paraId="13935C3B"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Pagos finales efectuados a contratistas</w:t>
            </w:r>
          </w:p>
        </w:tc>
        <w:tc>
          <w:tcPr>
            <w:tcW w:w="6662" w:type="dxa"/>
          </w:tcPr>
          <w:p w14:paraId="17460A3E"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Ejecución de un alcance inferior al contratado y pago total del contrato</w:t>
            </w:r>
          </w:p>
        </w:tc>
      </w:tr>
      <w:tr w:rsidR="00DA7BA2" w:rsidRPr="006660AA" w14:paraId="2B287E77"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2ADB269C"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34</w:t>
            </w:r>
          </w:p>
        </w:tc>
        <w:tc>
          <w:tcPr>
            <w:tcW w:w="4899" w:type="dxa"/>
          </w:tcPr>
          <w:p w14:paraId="3464EA8A"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Actas de recibo final a satisfacción firmadas </w:t>
            </w:r>
          </w:p>
        </w:tc>
        <w:tc>
          <w:tcPr>
            <w:tcW w:w="6662" w:type="dxa"/>
          </w:tcPr>
          <w:p w14:paraId="1E868EFF"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proofErr w:type="spellStart"/>
            <w:r w:rsidRPr="006660AA">
              <w:rPr>
                <w:rFonts w:ascii="Arial Narrow" w:hAnsi="Arial Narrow" w:cs="Arial"/>
                <w:sz w:val="22"/>
                <w:szCs w:val="22"/>
              </w:rPr>
              <w:t>Infuncionalidad</w:t>
            </w:r>
            <w:proofErr w:type="spellEnd"/>
            <w:r w:rsidRPr="006660AA">
              <w:rPr>
                <w:rFonts w:ascii="Arial Narrow" w:hAnsi="Arial Narrow" w:cs="Arial"/>
                <w:sz w:val="22"/>
                <w:szCs w:val="22"/>
              </w:rPr>
              <w:t xml:space="preserve"> de lo ejecutado</w:t>
            </w:r>
          </w:p>
        </w:tc>
      </w:tr>
      <w:tr w:rsidR="00DA7BA2" w:rsidRPr="006660AA" w14:paraId="603E0F41"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4B886D0D"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lastRenderedPageBreak/>
              <w:t>35</w:t>
            </w:r>
          </w:p>
        </w:tc>
        <w:tc>
          <w:tcPr>
            <w:tcW w:w="4899" w:type="dxa"/>
          </w:tcPr>
          <w:p w14:paraId="4BCC730C"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Contratos finalizados </w:t>
            </w:r>
          </w:p>
        </w:tc>
        <w:tc>
          <w:tcPr>
            <w:tcW w:w="6662" w:type="dxa"/>
          </w:tcPr>
          <w:p w14:paraId="7D667FB4"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Bienes, servicios u obras inconclusas y/o que no brindan utilidad o beneficio</w:t>
            </w:r>
          </w:p>
        </w:tc>
      </w:tr>
      <w:tr w:rsidR="00DA7BA2" w:rsidRPr="006660AA" w14:paraId="37015F50"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47DC1BFC"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36</w:t>
            </w:r>
          </w:p>
        </w:tc>
        <w:tc>
          <w:tcPr>
            <w:tcW w:w="4899" w:type="dxa"/>
          </w:tcPr>
          <w:p w14:paraId="622A778C"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Pagos efectuados a contratistas </w:t>
            </w:r>
          </w:p>
        </w:tc>
        <w:tc>
          <w:tcPr>
            <w:tcW w:w="6662" w:type="dxa"/>
          </w:tcPr>
          <w:p w14:paraId="1239305F" w14:textId="591D72AB"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Inadecuada deducción de impuestos, tasas o contribuciones al contratista</w:t>
            </w:r>
          </w:p>
        </w:tc>
      </w:tr>
      <w:tr w:rsidR="00DA7BA2" w:rsidRPr="006660AA" w14:paraId="108AE4EE"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4AB25FBF"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37</w:t>
            </w:r>
          </w:p>
        </w:tc>
        <w:tc>
          <w:tcPr>
            <w:tcW w:w="4899" w:type="dxa"/>
          </w:tcPr>
          <w:p w14:paraId="380FFA81"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Pagos por concepto de comisión a éxito </w:t>
            </w:r>
          </w:p>
        </w:tc>
        <w:tc>
          <w:tcPr>
            <w:tcW w:w="6662" w:type="dxa"/>
          </w:tcPr>
          <w:p w14:paraId="5809F1B7"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comisiones a éxito sin debida justificación</w:t>
            </w:r>
          </w:p>
        </w:tc>
      </w:tr>
      <w:tr w:rsidR="00DA7BA2" w:rsidRPr="006660AA" w14:paraId="5596865B"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3B7D4412"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38</w:t>
            </w:r>
          </w:p>
        </w:tc>
        <w:tc>
          <w:tcPr>
            <w:tcW w:w="4899" w:type="dxa"/>
          </w:tcPr>
          <w:p w14:paraId="4FA93690"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Actas de liquidación suscritas </w:t>
            </w:r>
          </w:p>
        </w:tc>
        <w:tc>
          <w:tcPr>
            <w:tcW w:w="6662" w:type="dxa"/>
          </w:tcPr>
          <w:p w14:paraId="299F0BDA"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Suscripción de acta de liquidación con imprecisiones de fondo</w:t>
            </w:r>
          </w:p>
        </w:tc>
      </w:tr>
      <w:tr w:rsidR="00DA7BA2" w:rsidRPr="006660AA" w14:paraId="3A6FCD7C"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0AAD3AF0"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39</w:t>
            </w:r>
          </w:p>
        </w:tc>
        <w:tc>
          <w:tcPr>
            <w:tcW w:w="4899" w:type="dxa"/>
            <w:vAlign w:val="center"/>
          </w:tcPr>
          <w:p w14:paraId="32BAAF8D" w14:textId="77777777" w:rsidR="00DA7BA2" w:rsidRPr="006660AA" w:rsidRDefault="00DA7BA2" w:rsidP="006660AA">
            <w:pPr>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Actas de liquidación suscritas</w:t>
            </w:r>
          </w:p>
        </w:tc>
        <w:tc>
          <w:tcPr>
            <w:tcW w:w="6662" w:type="dxa"/>
          </w:tcPr>
          <w:p w14:paraId="3EED8E10" w14:textId="59C4F1AC"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Suscripción de acta de liquidación sin relacionar las sanciones impuestas </w:t>
            </w:r>
            <w:proofErr w:type="gramStart"/>
            <w:r w:rsidRPr="006660AA">
              <w:rPr>
                <w:rFonts w:ascii="Arial Narrow" w:hAnsi="Arial Narrow" w:cs="Arial"/>
                <w:sz w:val="22"/>
                <w:szCs w:val="22"/>
              </w:rPr>
              <w:t>al contratistas</w:t>
            </w:r>
            <w:proofErr w:type="gramEnd"/>
          </w:p>
        </w:tc>
      </w:tr>
      <w:tr w:rsidR="00DA7BA2" w:rsidRPr="006660AA" w14:paraId="327C39E5"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E2AE76F"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40</w:t>
            </w:r>
          </w:p>
        </w:tc>
        <w:tc>
          <w:tcPr>
            <w:tcW w:w="4899" w:type="dxa"/>
          </w:tcPr>
          <w:p w14:paraId="7EFD81E9"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Contratos finalizados en los que se contemplaba o requería liquidación.</w:t>
            </w:r>
          </w:p>
        </w:tc>
        <w:tc>
          <w:tcPr>
            <w:tcW w:w="6662" w:type="dxa"/>
          </w:tcPr>
          <w:p w14:paraId="5E6DB9C2"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Pérdida de competencia para liquidar por vencimiento del plazo legal, con saldos a favor de la Entidad</w:t>
            </w:r>
          </w:p>
        </w:tc>
      </w:tr>
      <w:tr w:rsidR="00DA7BA2" w:rsidRPr="006660AA" w14:paraId="31C709DC"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2C5C7AD"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41</w:t>
            </w:r>
          </w:p>
        </w:tc>
        <w:tc>
          <w:tcPr>
            <w:tcW w:w="4899" w:type="dxa"/>
            <w:vAlign w:val="center"/>
          </w:tcPr>
          <w:p w14:paraId="588A2E9C" w14:textId="77777777" w:rsidR="00DA7BA2" w:rsidRPr="006660AA" w:rsidRDefault="00DA7BA2" w:rsidP="006660AA">
            <w:pPr>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Actas de liquidación suscritas</w:t>
            </w:r>
          </w:p>
        </w:tc>
        <w:tc>
          <w:tcPr>
            <w:tcW w:w="6662" w:type="dxa"/>
          </w:tcPr>
          <w:p w14:paraId="482AECB0"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Liquidación de mutuo acuerdo con recibo a satisfacción, habiendo imprecisiones o falsedades</w:t>
            </w:r>
          </w:p>
        </w:tc>
      </w:tr>
      <w:tr w:rsidR="00DA7BA2" w:rsidRPr="006660AA" w14:paraId="05677E0F"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3BD2024E"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42</w:t>
            </w:r>
          </w:p>
        </w:tc>
        <w:tc>
          <w:tcPr>
            <w:tcW w:w="4899" w:type="dxa"/>
          </w:tcPr>
          <w:p w14:paraId="02AF4BD2" w14:textId="77777777" w:rsidR="00DA7BA2" w:rsidRPr="006660AA" w:rsidRDefault="00DA7BA2" w:rsidP="006660AA">
            <w:pPr>
              <w:ind w:left="5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Bienes u obras recibidas a satisfacción </w:t>
            </w:r>
          </w:p>
        </w:tc>
        <w:tc>
          <w:tcPr>
            <w:tcW w:w="6662" w:type="dxa"/>
          </w:tcPr>
          <w:p w14:paraId="19FC76D5"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Deterioro del bien u obra por indebido mantenimiento</w:t>
            </w:r>
          </w:p>
        </w:tc>
      </w:tr>
      <w:tr w:rsidR="00DA7BA2" w:rsidRPr="006660AA" w14:paraId="1C7EFEA6"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E5BC429"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43</w:t>
            </w:r>
          </w:p>
        </w:tc>
        <w:tc>
          <w:tcPr>
            <w:tcW w:w="4899" w:type="dxa"/>
          </w:tcPr>
          <w:p w14:paraId="51815A5F"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Actas de recibo final a satisfacción firmadas</w:t>
            </w:r>
          </w:p>
        </w:tc>
        <w:tc>
          <w:tcPr>
            <w:tcW w:w="6662" w:type="dxa"/>
          </w:tcPr>
          <w:p w14:paraId="6A74C38E" w14:textId="24F680AC"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Suscripción de acta de recibo final con imprecisiones de fondo</w:t>
            </w:r>
          </w:p>
        </w:tc>
      </w:tr>
      <w:tr w:rsidR="00DA7BA2" w:rsidRPr="006660AA" w14:paraId="1C36CE51"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4EFBD489"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43</w:t>
            </w:r>
          </w:p>
        </w:tc>
        <w:tc>
          <w:tcPr>
            <w:tcW w:w="4899" w:type="dxa"/>
          </w:tcPr>
          <w:p w14:paraId="2E156862"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Reintegro de saldos a favor de la entidad o pagos por parte de deudores </w:t>
            </w:r>
          </w:p>
        </w:tc>
        <w:tc>
          <w:tcPr>
            <w:tcW w:w="6662" w:type="dxa"/>
          </w:tcPr>
          <w:p w14:paraId="06523E90"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Reintegro de saldos a favor de la entidad sin indexación (reintegro sin actualización del dinero en el tiempo)</w:t>
            </w:r>
          </w:p>
        </w:tc>
      </w:tr>
      <w:tr w:rsidR="00DA7BA2" w:rsidRPr="006660AA" w14:paraId="72847A44"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D95AF25"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44</w:t>
            </w:r>
          </w:p>
        </w:tc>
        <w:tc>
          <w:tcPr>
            <w:tcW w:w="4899" w:type="dxa"/>
          </w:tcPr>
          <w:p w14:paraId="726D27B5"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Predios adquiridos </w:t>
            </w:r>
          </w:p>
        </w:tc>
        <w:tc>
          <w:tcPr>
            <w:tcW w:w="6662" w:type="dxa"/>
          </w:tcPr>
          <w:p w14:paraId="609941F7"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Adquisición de predios sin las especificaciones técnicas requeridas</w:t>
            </w:r>
          </w:p>
        </w:tc>
      </w:tr>
      <w:tr w:rsidR="00DA7BA2" w:rsidRPr="006660AA" w14:paraId="79169432"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5F53853A"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45</w:t>
            </w:r>
          </w:p>
        </w:tc>
        <w:tc>
          <w:tcPr>
            <w:tcW w:w="4899" w:type="dxa"/>
          </w:tcPr>
          <w:p w14:paraId="222AEC19"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Pérdida de tenencia de bienes de la entidad </w:t>
            </w:r>
          </w:p>
        </w:tc>
        <w:tc>
          <w:tcPr>
            <w:tcW w:w="6662" w:type="dxa"/>
          </w:tcPr>
          <w:p w14:paraId="63B02F61"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Pérdida de la tenencia de bienes inmuebles de la Entidad</w:t>
            </w:r>
          </w:p>
        </w:tc>
      </w:tr>
      <w:tr w:rsidR="00DA7BA2" w:rsidRPr="006660AA" w14:paraId="1A41D33C"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2403AF2"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46</w:t>
            </w:r>
          </w:p>
        </w:tc>
        <w:tc>
          <w:tcPr>
            <w:tcW w:w="4899" w:type="dxa"/>
          </w:tcPr>
          <w:p w14:paraId="25224EA0"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 xml:space="preserve">Pago de subsidios, transferencias o beneficios a particulares </w:t>
            </w:r>
          </w:p>
        </w:tc>
        <w:tc>
          <w:tcPr>
            <w:tcW w:w="6662" w:type="dxa"/>
          </w:tcPr>
          <w:p w14:paraId="302F1B94"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Bases de datos con falencias de información que genera pagos de subsidios u otros beneficios sin el cumplimiento de requisitos y condiciones</w:t>
            </w:r>
          </w:p>
        </w:tc>
      </w:tr>
      <w:tr w:rsidR="00DA7BA2" w:rsidRPr="006660AA" w14:paraId="0C0704A4"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6A516FCC"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47</w:t>
            </w:r>
          </w:p>
        </w:tc>
        <w:tc>
          <w:tcPr>
            <w:tcW w:w="4899" w:type="dxa"/>
          </w:tcPr>
          <w:p w14:paraId="513ADE7E"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subsidios, transferencias o beneficios a particulares</w:t>
            </w:r>
          </w:p>
        </w:tc>
        <w:tc>
          <w:tcPr>
            <w:tcW w:w="6662" w:type="dxa"/>
          </w:tcPr>
          <w:p w14:paraId="5A766B80"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subsidio u otros beneficios a personas fallecidas</w:t>
            </w:r>
          </w:p>
        </w:tc>
      </w:tr>
      <w:tr w:rsidR="00DA7BA2" w:rsidRPr="006660AA" w14:paraId="17141F01"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0449B3B7"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48</w:t>
            </w:r>
          </w:p>
        </w:tc>
        <w:tc>
          <w:tcPr>
            <w:tcW w:w="4899" w:type="dxa"/>
          </w:tcPr>
          <w:p w14:paraId="1A80266F"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subsidios, transferencias o beneficios a particulares</w:t>
            </w:r>
          </w:p>
        </w:tc>
        <w:tc>
          <w:tcPr>
            <w:tcW w:w="6662" w:type="dxa"/>
          </w:tcPr>
          <w:p w14:paraId="414F3795" w14:textId="77777777"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subsidios u otros beneficios a personas que no tienen derecho a los mismos a la luz de requisitos de ley</w:t>
            </w:r>
          </w:p>
        </w:tc>
      </w:tr>
      <w:tr w:rsidR="00DA7BA2" w:rsidRPr="006660AA" w14:paraId="7DB5A529" w14:textId="77777777" w:rsidTr="006660AA">
        <w:trPr>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79F634F6"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49</w:t>
            </w:r>
          </w:p>
        </w:tc>
        <w:tc>
          <w:tcPr>
            <w:tcW w:w="4899" w:type="dxa"/>
          </w:tcPr>
          <w:p w14:paraId="755ACC22" w14:textId="77777777" w:rsidR="00DA7BA2" w:rsidRPr="006660AA" w:rsidRDefault="00DA7BA2" w:rsidP="006660AA">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subsidios, transferencias o beneficios a particulares</w:t>
            </w:r>
          </w:p>
        </w:tc>
        <w:tc>
          <w:tcPr>
            <w:tcW w:w="6662" w:type="dxa"/>
            <w:vAlign w:val="center"/>
          </w:tcPr>
          <w:p w14:paraId="37561D7A" w14:textId="77777777" w:rsidR="00DA7BA2" w:rsidRPr="006660AA" w:rsidRDefault="00DA7BA2" w:rsidP="006660AA">
            <w:pPr>
              <w:cnfStyle w:val="000000000000" w:firstRow="0" w:lastRow="0" w:firstColumn="0" w:lastColumn="0" w:oddVBand="0" w:evenVBand="0" w:oddHBand="0"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Pago de subsidios por encima del beneficio otorgado</w:t>
            </w:r>
          </w:p>
        </w:tc>
      </w:tr>
      <w:tr w:rsidR="00DA7BA2" w:rsidRPr="006660AA" w14:paraId="756C106E" w14:textId="77777777" w:rsidTr="00666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5" w:type="dxa"/>
            <w:vAlign w:val="center"/>
          </w:tcPr>
          <w:p w14:paraId="3C8E1FEA" w14:textId="77777777" w:rsidR="00DA7BA2" w:rsidRPr="006660AA" w:rsidRDefault="00DA7BA2" w:rsidP="006660AA">
            <w:pPr>
              <w:jc w:val="center"/>
              <w:rPr>
                <w:rFonts w:ascii="Arial Narrow" w:hAnsi="Arial Narrow" w:cs="Arial"/>
                <w:sz w:val="22"/>
                <w:szCs w:val="22"/>
              </w:rPr>
            </w:pPr>
            <w:r w:rsidRPr="006660AA">
              <w:rPr>
                <w:rFonts w:ascii="Arial Narrow" w:hAnsi="Arial Narrow" w:cs="Arial"/>
                <w:sz w:val="22"/>
                <w:szCs w:val="22"/>
              </w:rPr>
              <w:t>50</w:t>
            </w:r>
          </w:p>
        </w:tc>
        <w:tc>
          <w:tcPr>
            <w:tcW w:w="4899" w:type="dxa"/>
            <w:vAlign w:val="center"/>
          </w:tcPr>
          <w:p w14:paraId="54B76AEA" w14:textId="3DB650A4" w:rsidR="00DA7BA2" w:rsidRPr="009C1CA0" w:rsidRDefault="00DA7BA2" w:rsidP="009C1CA0">
            <w:pPr>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Deudas a favor de la entidad</w:t>
            </w:r>
          </w:p>
        </w:tc>
        <w:tc>
          <w:tcPr>
            <w:tcW w:w="6662" w:type="dxa"/>
          </w:tcPr>
          <w:p w14:paraId="2F694AEC" w14:textId="73782E5F" w:rsidR="00DA7BA2" w:rsidRPr="006660AA" w:rsidRDefault="00DA7BA2" w:rsidP="006660AA">
            <w:pPr>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rPr>
            </w:pPr>
            <w:r w:rsidRPr="006660AA">
              <w:rPr>
                <w:rFonts w:ascii="Arial Narrow" w:hAnsi="Arial Narrow" w:cs="Arial"/>
                <w:sz w:val="22"/>
                <w:szCs w:val="22"/>
              </w:rPr>
              <w:t>Vencimiento de plazos para la labor de cobro directo (persuasivo o coactivo) o judicial</w:t>
            </w:r>
          </w:p>
        </w:tc>
      </w:tr>
    </w:tbl>
    <w:p w14:paraId="7DAE046B" w14:textId="30784873" w:rsidR="00DA7BA2" w:rsidRPr="00DA7BA2" w:rsidRDefault="00DA7BA2" w:rsidP="00DA7BA2">
      <w:pPr>
        <w:autoSpaceDE w:val="0"/>
        <w:autoSpaceDN w:val="0"/>
        <w:adjustRightInd w:val="0"/>
        <w:ind w:firstLine="709"/>
        <w:rPr>
          <w:rFonts w:ascii="Arial Narrow" w:eastAsia="Times New Roman" w:hAnsi="Arial Narrow" w:cs="Arial"/>
          <w:sz w:val="22"/>
          <w:szCs w:val="22"/>
          <w:lang w:val="es-ES"/>
        </w:rPr>
      </w:pPr>
      <w:r>
        <w:rPr>
          <w:rFonts w:ascii="Arial Narrow" w:eastAsia="Times New Roman" w:hAnsi="Arial Narrow" w:cs="Arial"/>
          <w:sz w:val="22"/>
          <w:szCs w:val="22"/>
          <w:lang w:val="es-ES"/>
        </w:rPr>
        <w:t>Fuente: Elaboración Dirección de Gestión y Desempeño Institucional. 2022</w:t>
      </w:r>
      <w:r>
        <w:rPr>
          <w:rStyle w:val="Refdenotaalpie"/>
          <w:rFonts w:ascii="Arial Narrow" w:eastAsia="Times New Roman" w:hAnsi="Arial Narrow" w:cs="Arial"/>
          <w:sz w:val="22"/>
          <w:szCs w:val="22"/>
          <w:lang w:val="es-ES"/>
        </w:rPr>
        <w:footnoteReference w:id="1"/>
      </w:r>
    </w:p>
    <w:sectPr w:rsidR="00DA7BA2" w:rsidRPr="00DA7BA2" w:rsidSect="009C1CA0">
      <w:headerReference w:type="default" r:id="rId8"/>
      <w:footerReference w:type="default" r:id="rId9"/>
      <w:headerReference w:type="first" r:id="rId10"/>
      <w:footerReference w:type="first" r:id="rId11"/>
      <w:pgSz w:w="15842" w:h="12242" w:orient="landscape" w:code="1"/>
      <w:pgMar w:top="1440" w:right="1440" w:bottom="993" w:left="1276" w:header="113"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E90B4" w14:textId="77777777" w:rsidR="009E4FC8" w:rsidRDefault="009E4FC8">
      <w:r>
        <w:separator/>
      </w:r>
    </w:p>
  </w:endnote>
  <w:endnote w:type="continuationSeparator" w:id="0">
    <w:p w14:paraId="518E1FCA" w14:textId="77777777" w:rsidR="009E4FC8" w:rsidRDefault="009E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2411559"/>
      <w:docPartObj>
        <w:docPartGallery w:val="Page Numbers (Bottom of Page)"/>
        <w:docPartUnique/>
      </w:docPartObj>
    </w:sdtPr>
    <w:sdtEndPr/>
    <w:sdtContent>
      <w:p w14:paraId="38BFA0DB" w14:textId="07BCB243" w:rsidR="00AC7B21" w:rsidRPr="00811A15" w:rsidRDefault="00AC7B21" w:rsidP="00AC7B21">
        <w:pPr>
          <w:pStyle w:val="Encabezado"/>
        </w:pPr>
      </w:p>
      <w:p w14:paraId="2A8ABDEA" w14:textId="77777777" w:rsidR="00AC7B21" w:rsidRDefault="00AC7B21" w:rsidP="00AC7B21"/>
      <w:p w14:paraId="27A47102" w14:textId="20E1489D" w:rsidR="00AC7B21" w:rsidRDefault="00AC7B21" w:rsidP="00AC7B21">
        <w:pPr>
          <w:pStyle w:val="Piedepgina"/>
          <w:tabs>
            <w:tab w:val="clear" w:pos="4419"/>
            <w:tab w:val="center" w:pos="2127"/>
          </w:tabs>
          <w:rPr>
            <w:rFonts w:ascii="Arial Narrow" w:hAnsi="Arial Narrow"/>
            <w:sz w:val="14"/>
            <w:szCs w:val="14"/>
            <w:lang w:val="es-ES_tradnl"/>
          </w:rPr>
        </w:pPr>
        <w:r w:rsidRPr="00A82505">
          <w:rPr>
            <w:rFonts w:ascii="Arial Narrow" w:hAnsi="Arial Narrow"/>
            <w:sz w:val="14"/>
            <w:szCs w:val="14"/>
            <w:lang w:val="es-ES_tradnl"/>
          </w:rPr>
          <w:t>Carrera 6 No. 12-62</w:t>
        </w:r>
        <w:r>
          <w:rPr>
            <w:rFonts w:ascii="Arial Narrow" w:hAnsi="Arial Narrow"/>
            <w:sz w:val="14"/>
            <w:szCs w:val="14"/>
            <w:lang w:val="es-ES_tradnl"/>
          </w:rPr>
          <w:t xml:space="preserve">, </w:t>
        </w:r>
        <w:r w:rsidRPr="00A82505">
          <w:rPr>
            <w:rFonts w:ascii="Arial Narrow" w:hAnsi="Arial Narrow"/>
            <w:sz w:val="14"/>
            <w:szCs w:val="14"/>
            <w:lang w:val="es-ES_tradnl"/>
          </w:rPr>
          <w:t>Bogotá</w:t>
        </w:r>
        <w:r>
          <w:rPr>
            <w:rFonts w:ascii="Arial Narrow" w:hAnsi="Arial Narrow"/>
            <w:sz w:val="14"/>
            <w:szCs w:val="14"/>
            <w:lang w:val="es-ES_tradnl"/>
          </w:rPr>
          <w:t>,</w:t>
        </w:r>
        <w:r w:rsidRPr="00A82505">
          <w:rPr>
            <w:rFonts w:ascii="Arial Narrow" w:hAnsi="Arial Narrow"/>
            <w:sz w:val="14"/>
            <w:szCs w:val="14"/>
            <w:lang w:val="es-ES_tradnl"/>
          </w:rPr>
          <w:t xml:space="preserve"> D.C</w:t>
        </w:r>
        <w:r>
          <w:rPr>
            <w:rFonts w:ascii="Arial Narrow" w:hAnsi="Arial Narrow"/>
            <w:sz w:val="14"/>
            <w:szCs w:val="14"/>
            <w:lang w:val="es-ES_tradnl"/>
          </w:rPr>
          <w:t>.</w:t>
        </w:r>
        <w:r w:rsidRPr="00A82505">
          <w:rPr>
            <w:rFonts w:ascii="Arial Narrow" w:hAnsi="Arial Narrow"/>
            <w:sz w:val="14"/>
            <w:szCs w:val="14"/>
            <w:lang w:val="es-ES_tradnl"/>
          </w:rPr>
          <w:t>, Colombia</w:t>
        </w:r>
        <w:r>
          <w:rPr>
            <w:rFonts w:ascii="Arial Narrow" w:hAnsi="Arial Narrow"/>
            <w:sz w:val="14"/>
            <w:szCs w:val="14"/>
            <w:lang w:val="es-ES_tradnl"/>
          </w:rPr>
          <w:t xml:space="preserve"> ● </w:t>
        </w:r>
        <w:r w:rsidRPr="00A82505">
          <w:rPr>
            <w:rFonts w:ascii="Arial Narrow" w:hAnsi="Arial Narrow"/>
            <w:sz w:val="14"/>
            <w:szCs w:val="14"/>
            <w:lang w:val="es-ES_tradnl"/>
          </w:rPr>
          <w:t>Tel</w:t>
        </w:r>
        <w:r>
          <w:rPr>
            <w:rFonts w:ascii="Arial Narrow" w:hAnsi="Arial Narrow"/>
            <w:sz w:val="14"/>
            <w:szCs w:val="14"/>
            <w:lang w:val="es-ES_tradnl"/>
          </w:rPr>
          <w:t xml:space="preserve">éfono: </w:t>
        </w:r>
        <w:r w:rsidR="00EB7E07">
          <w:rPr>
            <w:rFonts w:ascii="Arial Narrow" w:hAnsi="Arial Narrow"/>
            <w:sz w:val="14"/>
            <w:szCs w:val="14"/>
            <w:lang w:val="es-ES_tradnl"/>
          </w:rPr>
          <w:t xml:space="preserve">601 </w:t>
        </w:r>
        <w:r>
          <w:rPr>
            <w:rFonts w:ascii="Arial Narrow" w:hAnsi="Arial Narrow"/>
            <w:sz w:val="14"/>
            <w:szCs w:val="14"/>
            <w:lang w:val="es-ES_tradnl"/>
          </w:rPr>
          <w:t xml:space="preserve">7395656 ● Fax: </w:t>
        </w:r>
        <w:r w:rsidR="00EB7E07">
          <w:rPr>
            <w:rFonts w:ascii="Arial Narrow" w:hAnsi="Arial Narrow"/>
            <w:sz w:val="14"/>
            <w:szCs w:val="14"/>
            <w:lang w:val="es-ES_tradnl"/>
          </w:rPr>
          <w:t xml:space="preserve">601 </w:t>
        </w:r>
        <w:r>
          <w:rPr>
            <w:rFonts w:ascii="Arial Narrow" w:hAnsi="Arial Narrow"/>
            <w:sz w:val="14"/>
            <w:szCs w:val="14"/>
            <w:lang w:val="es-ES_tradnl"/>
          </w:rPr>
          <w:t xml:space="preserve">7395657 </w:t>
        </w:r>
      </w:p>
      <w:p w14:paraId="6A9019A3" w14:textId="381EFFD3" w:rsidR="00AC7B21" w:rsidRPr="00715266" w:rsidRDefault="00AC7B21" w:rsidP="00AC7B21">
        <w:pPr>
          <w:pStyle w:val="Piedepgina"/>
          <w:tabs>
            <w:tab w:val="clear" w:pos="4419"/>
            <w:tab w:val="center" w:pos="2127"/>
          </w:tabs>
          <w:rPr>
            <w:rFonts w:ascii="Arial Narrow" w:hAnsi="Arial Narrow"/>
            <w:sz w:val="14"/>
            <w:szCs w:val="14"/>
          </w:rPr>
        </w:pPr>
        <w:r w:rsidRPr="007A20DC">
          <w:rPr>
            <w:rFonts w:ascii="Arial Narrow" w:hAnsi="Arial Narrow"/>
            <w:sz w:val="14"/>
            <w:szCs w:val="14"/>
          </w:rPr>
          <w:t>Código Postal:</w:t>
        </w:r>
        <w:r>
          <w:rPr>
            <w:rFonts w:ascii="Arial Narrow" w:hAnsi="Arial Narrow"/>
            <w:sz w:val="14"/>
            <w:szCs w:val="14"/>
          </w:rPr>
          <w:t xml:space="preserve"> 111711.</w:t>
        </w:r>
        <w:r w:rsidRPr="00715266">
          <w:rPr>
            <w:rFonts w:ascii="Arial Narrow" w:hAnsi="Arial Narrow"/>
            <w:sz w:val="14"/>
            <w:szCs w:val="14"/>
          </w:rPr>
          <w:t xml:space="preserve"> </w:t>
        </w:r>
        <w:hyperlink r:id="rId1" w:history="1">
          <w:r w:rsidRPr="00294CE9">
            <w:rPr>
              <w:rStyle w:val="Hipervnculo"/>
              <w:rFonts w:ascii="Arial Narrow" w:hAnsi="Arial Narrow"/>
              <w:sz w:val="14"/>
              <w:szCs w:val="14"/>
            </w:rPr>
            <w:t>www.funcionpublica.gov.co</w:t>
          </w:r>
        </w:hyperlink>
        <w:r w:rsidRPr="00715266">
          <w:rPr>
            <w:rFonts w:ascii="Arial Narrow" w:hAnsi="Arial Narrow"/>
            <w:sz w:val="14"/>
            <w:szCs w:val="14"/>
          </w:rPr>
          <w:t xml:space="preserve"> ●</w:t>
        </w:r>
        <w:r w:rsidR="00DD4650">
          <w:rPr>
            <w:rFonts w:ascii="Arial Narrow" w:hAnsi="Arial Narrow"/>
            <w:sz w:val="14"/>
            <w:szCs w:val="14"/>
          </w:rPr>
          <w:t xml:space="preserve"> </w:t>
        </w:r>
        <w:hyperlink r:id="rId2" w:history="1">
          <w:r w:rsidRPr="00294CE9">
            <w:rPr>
              <w:rStyle w:val="Hipervnculo"/>
              <w:rFonts w:ascii="Arial Narrow" w:hAnsi="Arial Narrow"/>
              <w:sz w:val="14"/>
              <w:szCs w:val="14"/>
            </w:rPr>
            <w:t>eva@funcionpublica.gov.co</w:t>
          </w:r>
        </w:hyperlink>
      </w:p>
      <w:p w14:paraId="35348018" w14:textId="1D7B7717" w:rsidR="00CE6376" w:rsidRDefault="00CE6376">
        <w:pPr>
          <w:pStyle w:val="Piedepgina"/>
          <w:jc w:val="right"/>
        </w:pPr>
        <w:r>
          <w:fldChar w:fldCharType="begin"/>
        </w:r>
        <w:r>
          <w:instrText>PAGE   \* MERGEFORMAT</w:instrText>
        </w:r>
        <w:r>
          <w:fldChar w:fldCharType="separate"/>
        </w:r>
        <w:r w:rsidR="00B915B5" w:rsidRPr="00B915B5">
          <w:rPr>
            <w:noProof/>
            <w:lang w:val="es-ES"/>
          </w:rPr>
          <w:t>5</w:t>
        </w:r>
        <w:r>
          <w:fldChar w:fldCharType="end"/>
        </w:r>
      </w:p>
    </w:sdtContent>
  </w:sdt>
  <w:p w14:paraId="3A22F88D" w14:textId="4BE7A101" w:rsidR="004F5981" w:rsidRPr="00715266" w:rsidRDefault="004F5981" w:rsidP="00544780">
    <w:pPr>
      <w:pStyle w:val="Piedepgina"/>
      <w:tabs>
        <w:tab w:val="clear" w:pos="4419"/>
        <w:tab w:val="center" w:pos="2127"/>
      </w:tabs>
      <w:rPr>
        <w:rFonts w:ascii="Arial Narrow" w:hAnsi="Arial Narrow"/>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72BF7" w14:textId="76639093" w:rsidR="00894297" w:rsidRDefault="007026C6" w:rsidP="00894297">
    <w:pPr>
      <w:pStyle w:val="Piedepgina"/>
      <w:tabs>
        <w:tab w:val="clear" w:pos="4419"/>
        <w:tab w:val="center" w:pos="2127"/>
      </w:tabs>
      <w:rPr>
        <w:rFonts w:ascii="Arial Narrow" w:hAnsi="Arial Narrow"/>
        <w:sz w:val="14"/>
        <w:szCs w:val="14"/>
        <w:lang w:val="es-ES_tradnl"/>
      </w:rPr>
    </w:pPr>
    <w:r w:rsidRPr="00A82505">
      <w:rPr>
        <w:rFonts w:ascii="Arial Narrow" w:hAnsi="Arial Narrow"/>
        <w:sz w:val="14"/>
        <w:szCs w:val="14"/>
        <w:lang w:val="es-ES_tradnl"/>
      </w:rPr>
      <w:t>Carrera 6 No. 12-62</w:t>
    </w:r>
    <w:r>
      <w:rPr>
        <w:rFonts w:ascii="Arial Narrow" w:hAnsi="Arial Narrow"/>
        <w:sz w:val="14"/>
        <w:szCs w:val="14"/>
        <w:lang w:val="es-ES_tradnl"/>
      </w:rPr>
      <w:t xml:space="preserve">, </w:t>
    </w:r>
    <w:r w:rsidRPr="00A82505">
      <w:rPr>
        <w:rFonts w:ascii="Arial Narrow" w:hAnsi="Arial Narrow"/>
        <w:sz w:val="14"/>
        <w:szCs w:val="14"/>
        <w:lang w:val="es-ES_tradnl"/>
      </w:rPr>
      <w:t>Bogotá</w:t>
    </w:r>
    <w:r>
      <w:rPr>
        <w:rFonts w:ascii="Arial Narrow" w:hAnsi="Arial Narrow"/>
        <w:sz w:val="14"/>
        <w:szCs w:val="14"/>
        <w:lang w:val="es-ES_tradnl"/>
      </w:rPr>
      <w:t>,</w:t>
    </w:r>
    <w:r w:rsidRPr="00A82505">
      <w:rPr>
        <w:rFonts w:ascii="Arial Narrow" w:hAnsi="Arial Narrow"/>
        <w:sz w:val="14"/>
        <w:szCs w:val="14"/>
        <w:lang w:val="es-ES_tradnl"/>
      </w:rPr>
      <w:t xml:space="preserve"> D.C</w:t>
    </w:r>
    <w:r>
      <w:rPr>
        <w:rFonts w:ascii="Arial Narrow" w:hAnsi="Arial Narrow"/>
        <w:sz w:val="14"/>
        <w:szCs w:val="14"/>
        <w:lang w:val="es-ES_tradnl"/>
      </w:rPr>
      <w:t>.</w:t>
    </w:r>
    <w:r w:rsidRPr="00A82505">
      <w:rPr>
        <w:rFonts w:ascii="Arial Narrow" w:hAnsi="Arial Narrow"/>
        <w:sz w:val="14"/>
        <w:szCs w:val="14"/>
        <w:lang w:val="es-ES_tradnl"/>
      </w:rPr>
      <w:t>, Colombia</w:t>
    </w:r>
    <w:r>
      <w:rPr>
        <w:rFonts w:ascii="Arial Narrow" w:hAnsi="Arial Narrow"/>
        <w:sz w:val="14"/>
        <w:szCs w:val="14"/>
        <w:lang w:val="es-ES_tradnl"/>
      </w:rPr>
      <w:t xml:space="preserve"> ● </w:t>
    </w:r>
    <w:r w:rsidRPr="00A82505">
      <w:rPr>
        <w:rFonts w:ascii="Arial Narrow" w:hAnsi="Arial Narrow"/>
        <w:sz w:val="14"/>
        <w:szCs w:val="14"/>
        <w:lang w:val="es-ES_tradnl"/>
      </w:rPr>
      <w:t>Tel</w:t>
    </w:r>
    <w:r>
      <w:rPr>
        <w:rFonts w:ascii="Arial Narrow" w:hAnsi="Arial Narrow"/>
        <w:sz w:val="14"/>
        <w:szCs w:val="14"/>
        <w:lang w:val="es-ES_tradnl"/>
      </w:rPr>
      <w:t xml:space="preserve">éfono: </w:t>
    </w:r>
    <w:r w:rsidR="00EB7E07">
      <w:rPr>
        <w:rFonts w:ascii="Arial Narrow" w:hAnsi="Arial Narrow"/>
        <w:sz w:val="14"/>
        <w:szCs w:val="14"/>
        <w:lang w:val="es-ES_tradnl"/>
      </w:rPr>
      <w:t xml:space="preserve">601 </w:t>
    </w:r>
    <w:r>
      <w:rPr>
        <w:rFonts w:ascii="Arial Narrow" w:hAnsi="Arial Narrow"/>
        <w:sz w:val="14"/>
        <w:szCs w:val="14"/>
        <w:lang w:val="es-ES_tradnl"/>
      </w:rPr>
      <w:t xml:space="preserve">7395656 ● Fax: </w:t>
    </w:r>
    <w:r w:rsidR="00EB7E07">
      <w:rPr>
        <w:rFonts w:ascii="Arial Narrow" w:hAnsi="Arial Narrow"/>
        <w:sz w:val="14"/>
        <w:szCs w:val="14"/>
        <w:lang w:val="es-ES_tradnl"/>
      </w:rPr>
      <w:t xml:space="preserve">601 </w:t>
    </w:r>
    <w:r>
      <w:rPr>
        <w:rFonts w:ascii="Arial Narrow" w:hAnsi="Arial Narrow"/>
        <w:sz w:val="14"/>
        <w:szCs w:val="14"/>
        <w:lang w:val="es-ES_tradnl"/>
      </w:rPr>
      <w:t xml:space="preserve">7395657 </w:t>
    </w:r>
  </w:p>
  <w:p w14:paraId="308A6CDD" w14:textId="217E1E00" w:rsidR="00894297" w:rsidRPr="006660AA" w:rsidRDefault="00894297" w:rsidP="006660AA">
    <w:pPr>
      <w:pStyle w:val="Piedepgina"/>
      <w:tabs>
        <w:tab w:val="clear" w:pos="4419"/>
        <w:tab w:val="center" w:pos="2127"/>
      </w:tabs>
      <w:rPr>
        <w:rFonts w:ascii="Arial Narrow" w:hAnsi="Arial Narrow"/>
        <w:sz w:val="14"/>
        <w:szCs w:val="14"/>
      </w:rPr>
    </w:pPr>
    <w:r w:rsidRPr="007A20DC">
      <w:rPr>
        <w:rFonts w:ascii="Arial Narrow" w:hAnsi="Arial Narrow"/>
        <w:sz w:val="14"/>
        <w:szCs w:val="14"/>
      </w:rPr>
      <w:t>Código Postal:</w:t>
    </w:r>
    <w:r>
      <w:rPr>
        <w:rFonts w:ascii="Arial Narrow" w:hAnsi="Arial Narrow"/>
        <w:sz w:val="14"/>
        <w:szCs w:val="14"/>
      </w:rPr>
      <w:t xml:space="preserve"> 111711.</w:t>
    </w:r>
    <w:r w:rsidRPr="00715266">
      <w:rPr>
        <w:rFonts w:ascii="Arial Narrow" w:hAnsi="Arial Narrow"/>
        <w:sz w:val="14"/>
        <w:szCs w:val="14"/>
      </w:rPr>
      <w:t xml:space="preserve"> </w:t>
    </w:r>
    <w:hyperlink r:id="rId1" w:history="1">
      <w:r w:rsidR="0038332E" w:rsidRPr="00294CE9">
        <w:rPr>
          <w:rStyle w:val="Hipervnculo"/>
          <w:rFonts w:ascii="Arial Narrow" w:hAnsi="Arial Narrow"/>
          <w:sz w:val="14"/>
          <w:szCs w:val="14"/>
        </w:rPr>
        <w:t>www.funcionpublica.gov.co</w:t>
      </w:r>
    </w:hyperlink>
    <w:r w:rsidRPr="00715266">
      <w:rPr>
        <w:rFonts w:ascii="Arial Narrow" w:hAnsi="Arial Narrow"/>
        <w:sz w:val="14"/>
        <w:szCs w:val="14"/>
      </w:rPr>
      <w:t xml:space="preserve"> ●</w:t>
    </w:r>
    <w:r w:rsidR="00DD4650">
      <w:rPr>
        <w:rFonts w:ascii="Arial Narrow" w:hAnsi="Arial Narrow"/>
        <w:sz w:val="14"/>
        <w:szCs w:val="14"/>
      </w:rPr>
      <w:t xml:space="preserve"> </w:t>
    </w:r>
    <w:hyperlink r:id="rId2" w:history="1">
      <w:r w:rsidR="0038332E" w:rsidRPr="00294CE9">
        <w:rPr>
          <w:rStyle w:val="Hipervnculo"/>
          <w:rFonts w:ascii="Arial Narrow" w:hAnsi="Arial Narrow"/>
          <w:sz w:val="14"/>
          <w:szCs w:val="14"/>
        </w:rPr>
        <w:t>eva@funcionpublica.gov.co</w:t>
      </w:r>
    </w:hyperlink>
    <w:r w:rsidR="0024569B">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75CF8" w14:textId="77777777" w:rsidR="009E4FC8" w:rsidRDefault="009E4FC8">
      <w:r>
        <w:separator/>
      </w:r>
    </w:p>
  </w:footnote>
  <w:footnote w:type="continuationSeparator" w:id="0">
    <w:p w14:paraId="6ED7A1C4" w14:textId="77777777" w:rsidR="009E4FC8" w:rsidRDefault="009E4FC8">
      <w:r>
        <w:continuationSeparator/>
      </w:r>
    </w:p>
  </w:footnote>
  <w:footnote w:id="1">
    <w:p w14:paraId="63E91ACE" w14:textId="77777777" w:rsidR="009C1CA0" w:rsidRDefault="00DA7BA2" w:rsidP="00DA7BA2">
      <w:pPr>
        <w:rPr>
          <w:rFonts w:ascii="Arial Narrow" w:hAnsi="Arial Narrow"/>
          <w:sz w:val="20"/>
          <w:lang w:eastAsia="en-US"/>
        </w:rPr>
      </w:pPr>
      <w:r w:rsidRPr="00DA7BA2">
        <w:rPr>
          <w:rStyle w:val="Refdenotaalpie"/>
          <w:rFonts w:ascii="Arial Narrow" w:hAnsi="Arial Narrow"/>
          <w:sz w:val="20"/>
        </w:rPr>
        <w:footnoteRef/>
      </w:r>
      <w:r w:rsidRPr="00DA7BA2">
        <w:rPr>
          <w:rFonts w:ascii="Arial Narrow" w:hAnsi="Arial Narrow"/>
          <w:sz w:val="20"/>
        </w:rPr>
        <w:t xml:space="preserve"> </w:t>
      </w:r>
      <w:r>
        <w:rPr>
          <w:rFonts w:ascii="Arial Narrow" w:hAnsi="Arial Narrow"/>
          <w:sz w:val="20"/>
        </w:rPr>
        <w:t xml:space="preserve">Este catálogo </w:t>
      </w:r>
      <w:r w:rsidRPr="00DA7BA2">
        <w:rPr>
          <w:rFonts w:ascii="Arial Narrow" w:hAnsi="Arial Narrow"/>
          <w:sz w:val="20"/>
        </w:rPr>
        <w:t>indicativo y enunciativo de puntos de riesgo fiscal y circunstancias Inmediatas,</w:t>
      </w:r>
      <w:r>
        <w:rPr>
          <w:rFonts w:ascii="Arial Narrow" w:hAnsi="Arial Narrow"/>
          <w:sz w:val="20"/>
        </w:rPr>
        <w:t xml:space="preserve"> es el resultado del</w:t>
      </w:r>
      <w:r w:rsidRPr="00DA7BA2">
        <w:rPr>
          <w:rFonts w:ascii="Arial Narrow" w:hAnsi="Arial Narrow"/>
          <w:sz w:val="20"/>
        </w:rPr>
        <w:t xml:space="preserve"> </w:t>
      </w:r>
      <w:r w:rsidRPr="00DA7BA2">
        <w:rPr>
          <w:rFonts w:ascii="Arial Narrow" w:hAnsi="Arial Narrow"/>
          <w:sz w:val="20"/>
          <w:lang w:eastAsia="en-US"/>
        </w:rPr>
        <w:t>análisis de investigaciones previas y del estudio detallado de información sobre:</w:t>
      </w:r>
    </w:p>
    <w:p w14:paraId="6C83A77C" w14:textId="77777777" w:rsidR="009C1CA0" w:rsidRDefault="009C1CA0" w:rsidP="00DA7BA2">
      <w:pPr>
        <w:rPr>
          <w:rFonts w:ascii="Arial Narrow" w:hAnsi="Arial Narrow"/>
          <w:i/>
          <w:sz w:val="20"/>
          <w:lang w:eastAsia="en-US"/>
        </w:rPr>
      </w:pPr>
    </w:p>
    <w:p w14:paraId="63963EF4" w14:textId="00B64BB9" w:rsidR="00DA7BA2" w:rsidRPr="00DA7BA2" w:rsidRDefault="00DA7BA2" w:rsidP="00DA7BA2">
      <w:pPr>
        <w:rPr>
          <w:rFonts w:ascii="Arial Narrow" w:hAnsi="Arial Narrow"/>
          <w:sz w:val="20"/>
          <w:lang w:eastAsia="en-US"/>
        </w:rPr>
      </w:pPr>
      <w:r w:rsidRPr="00DA7BA2">
        <w:rPr>
          <w:rFonts w:ascii="Arial Narrow" w:hAnsi="Arial Narrow"/>
          <w:i/>
          <w:sz w:val="20"/>
          <w:lang w:eastAsia="en-US"/>
        </w:rPr>
        <w:t>(i)</w:t>
      </w:r>
      <w:r>
        <w:rPr>
          <w:rFonts w:ascii="Arial Narrow" w:hAnsi="Arial Narrow"/>
          <w:sz w:val="20"/>
          <w:lang w:eastAsia="en-US"/>
        </w:rPr>
        <w:t xml:space="preserve"> </w:t>
      </w:r>
      <w:r w:rsidRPr="00DA7BA2">
        <w:rPr>
          <w:rFonts w:ascii="Arial Narrow" w:hAnsi="Arial Narrow"/>
          <w:sz w:val="20"/>
          <w:lang w:eastAsia="en-US"/>
        </w:rPr>
        <w:t xml:space="preserve">Fallos con responsabilidad fiscal, en firme, emitidos en los últimos 3 años, por una muestra de 10 de las contralorías territoriales mejor calificadas en 2020, según el criterio de </w:t>
      </w:r>
      <w:bookmarkStart w:id="0" w:name="_GoBack"/>
      <w:bookmarkEnd w:id="0"/>
      <w:r w:rsidRPr="00DA7BA2">
        <w:rPr>
          <w:rFonts w:ascii="Arial Narrow" w:hAnsi="Arial Narrow"/>
          <w:sz w:val="20"/>
          <w:lang w:eastAsia="en-US"/>
        </w:rPr>
        <w:t xml:space="preserve">desempeño integral, el cual corresponde a evaluación realizada por la Auditoría General de la República. </w:t>
      </w:r>
    </w:p>
    <w:p w14:paraId="15F9F0EF" w14:textId="4F05EAE4" w:rsidR="00DA7BA2" w:rsidRPr="00DA7BA2" w:rsidRDefault="00DA7BA2" w:rsidP="00DA7BA2">
      <w:pPr>
        <w:rPr>
          <w:rFonts w:ascii="Arial Narrow" w:hAnsi="Arial Narrow"/>
          <w:sz w:val="20"/>
          <w:lang w:eastAsia="en-US"/>
        </w:rPr>
      </w:pPr>
      <w:r w:rsidRPr="00DA7BA2">
        <w:rPr>
          <w:rFonts w:ascii="Arial Narrow" w:hAnsi="Arial Narrow"/>
          <w:i/>
          <w:sz w:val="20"/>
          <w:lang w:eastAsia="en-US"/>
        </w:rPr>
        <w:t>(</w:t>
      </w:r>
      <w:proofErr w:type="spellStart"/>
      <w:r w:rsidRPr="00DA7BA2">
        <w:rPr>
          <w:rFonts w:ascii="Arial Narrow" w:hAnsi="Arial Narrow"/>
          <w:i/>
          <w:sz w:val="20"/>
          <w:lang w:eastAsia="en-US"/>
        </w:rPr>
        <w:t>ii</w:t>
      </w:r>
      <w:proofErr w:type="spellEnd"/>
      <w:r w:rsidRPr="00DA7BA2">
        <w:rPr>
          <w:rFonts w:ascii="Arial Narrow" w:hAnsi="Arial Narrow"/>
          <w:i/>
          <w:sz w:val="20"/>
          <w:lang w:eastAsia="en-US"/>
        </w:rPr>
        <w:t>)</w:t>
      </w:r>
      <w:r>
        <w:rPr>
          <w:rFonts w:ascii="Arial Narrow" w:hAnsi="Arial Narrow"/>
          <w:sz w:val="20"/>
          <w:lang w:eastAsia="en-US"/>
        </w:rPr>
        <w:t xml:space="preserve"> </w:t>
      </w:r>
      <w:r w:rsidRPr="00DA7BA2">
        <w:rPr>
          <w:rFonts w:ascii="Arial Narrow" w:hAnsi="Arial Narrow"/>
          <w:sz w:val="20"/>
          <w:lang w:eastAsia="en-US"/>
        </w:rPr>
        <w:t>Muestra aleatoria de fallos con responsabilidad fiscal, en firme, emitidos por la Contraloría General de la República en los últimos 3 años.</w:t>
      </w:r>
    </w:p>
    <w:p w14:paraId="11802F4F" w14:textId="788C7982" w:rsidR="00DA7BA2" w:rsidRPr="00DA7BA2" w:rsidRDefault="00DA7BA2" w:rsidP="00DA7BA2">
      <w:pPr>
        <w:pStyle w:val="Textonotapie"/>
        <w:rPr>
          <w:rFonts w:ascii="Arial Narrow" w:hAnsi="Arial Narrow"/>
          <w:lang w:val="es-MX"/>
        </w:rPr>
      </w:pPr>
      <w:r w:rsidRPr="00DA7BA2">
        <w:rPr>
          <w:rFonts w:ascii="Arial Narrow" w:hAnsi="Arial Narrow"/>
          <w:i/>
          <w:lang w:eastAsia="en-US"/>
        </w:rPr>
        <w:t>(iii)</w:t>
      </w:r>
      <w:r>
        <w:rPr>
          <w:rFonts w:ascii="Arial Narrow" w:hAnsi="Arial Narrow"/>
          <w:lang w:eastAsia="en-US"/>
        </w:rPr>
        <w:t xml:space="preserve"> </w:t>
      </w:r>
      <w:r w:rsidRPr="00DA7BA2">
        <w:rPr>
          <w:rFonts w:ascii="Arial Narrow" w:hAnsi="Arial Narrow"/>
          <w:lang w:eastAsia="en-US"/>
        </w:rPr>
        <w:t>Listado de hallazgos fiscales por temáticas, consolidado por la Auditoría General de la República,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6A3" w14:textId="6A0439B2" w:rsidR="004F5981" w:rsidRDefault="006660AA" w:rsidP="006660AA">
    <w:pPr>
      <w:pStyle w:val="Encabezado"/>
      <w:jc w:val="center"/>
    </w:pPr>
    <w:r>
      <w:rPr>
        <w:noProof/>
      </w:rPr>
      <w:drawing>
        <wp:inline distT="0" distB="0" distL="0" distR="0" wp14:anchorId="3FF1190B" wp14:editId="1701DB38">
          <wp:extent cx="2932182" cy="1118618"/>
          <wp:effectExtent l="0" t="0" r="1905" b="5715"/>
          <wp:docPr id="282" name="Imagen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Nueva Imagen DAFP.png"/>
                  <pic:cNvPicPr/>
                </pic:nvPicPr>
                <pic:blipFill>
                  <a:blip r:embed="rId1"/>
                  <a:stretch>
                    <a:fillRect/>
                  </a:stretch>
                </pic:blipFill>
                <pic:spPr>
                  <a:xfrm>
                    <a:off x="0" y="0"/>
                    <a:ext cx="2932182" cy="1118618"/>
                  </a:xfrm>
                  <a:prstGeom prst="rect">
                    <a:avLst/>
                  </a:prstGeom>
                </pic:spPr>
              </pic:pic>
            </a:graphicData>
          </a:graphic>
        </wp:inline>
      </w:drawing>
    </w:r>
    <w:r>
      <w:t>.</w:t>
    </w:r>
  </w:p>
  <w:p w14:paraId="3F265C2C" w14:textId="77777777" w:rsidR="006660AA" w:rsidRPr="006660AA" w:rsidRDefault="006660AA" w:rsidP="006660AA">
    <w:pPr>
      <w:pStyle w:val="Encabezad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14FCE" w14:textId="30431FE5" w:rsidR="006660AA" w:rsidRDefault="006660AA" w:rsidP="00DA7BA2">
    <w:pPr>
      <w:pStyle w:val="Encabezado"/>
      <w:ind w:hanging="1418"/>
      <w:jc w:val="center"/>
      <w:rPr>
        <w:rFonts w:ascii="Georgia" w:hAnsi="Georgia"/>
        <w:b/>
        <w:sz w:val="22"/>
        <w:szCs w:val="22"/>
      </w:rPr>
    </w:pPr>
    <w:r>
      <w:rPr>
        <w:rFonts w:ascii="Georgia" w:hAnsi="Georgia"/>
        <w:b/>
        <w:noProof/>
        <w:sz w:val="22"/>
        <w:szCs w:val="22"/>
      </w:rPr>
      <w:drawing>
        <wp:inline distT="0" distB="0" distL="0" distR="0" wp14:anchorId="1A2B5741" wp14:editId="2C40B5A1">
          <wp:extent cx="2857500" cy="1205865"/>
          <wp:effectExtent l="0" t="0" r="0" b="0"/>
          <wp:docPr id="283" name="Imagen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ueva Imagen DAFP.png"/>
                  <pic:cNvPicPr/>
                </pic:nvPicPr>
                <pic:blipFill rotWithShape="1">
                  <a:blip r:embed="rId1"/>
                  <a:srcRect r="9598"/>
                  <a:stretch/>
                </pic:blipFill>
                <pic:spPr bwMode="auto">
                  <a:xfrm>
                    <a:off x="0" y="0"/>
                    <a:ext cx="2902604" cy="1224899"/>
                  </a:xfrm>
                  <a:prstGeom prst="rect">
                    <a:avLst/>
                  </a:prstGeom>
                  <a:ln>
                    <a:noFill/>
                  </a:ln>
                  <a:extLst>
                    <a:ext uri="{53640926-AAD7-44D8-BBD7-CCE9431645EC}">
                      <a14:shadowObscured xmlns:a14="http://schemas.microsoft.com/office/drawing/2010/main"/>
                    </a:ext>
                  </a:extLst>
                </pic:spPr>
              </pic:pic>
            </a:graphicData>
          </a:graphic>
        </wp:inline>
      </w:drawing>
    </w:r>
  </w:p>
  <w:p w14:paraId="52C09733" w14:textId="77777777" w:rsidR="006660AA" w:rsidRDefault="006660AA" w:rsidP="00DA7BA2">
    <w:pPr>
      <w:pStyle w:val="Encabezado"/>
      <w:ind w:hanging="1418"/>
      <w:jc w:val="center"/>
      <w:rPr>
        <w:rFonts w:ascii="Georgia" w:hAnsi="Georgia"/>
        <w:b/>
        <w:sz w:val="22"/>
        <w:szCs w:val="22"/>
      </w:rPr>
    </w:pPr>
  </w:p>
  <w:p w14:paraId="663516BD" w14:textId="41755578" w:rsidR="00DA7BA2" w:rsidRDefault="00DA7BA2" w:rsidP="006660AA">
    <w:pPr>
      <w:pStyle w:val="Encabezado"/>
      <w:ind w:hanging="1418"/>
      <w:jc w:val="center"/>
      <w:rPr>
        <w:rFonts w:ascii="Georgia" w:hAnsi="Georgia"/>
        <w:b/>
        <w:sz w:val="22"/>
        <w:szCs w:val="22"/>
      </w:rPr>
    </w:pPr>
    <w:r w:rsidRPr="00DA7BA2">
      <w:rPr>
        <w:rFonts w:ascii="Georgia" w:hAnsi="Georgia"/>
        <w:b/>
        <w:sz w:val="22"/>
        <w:szCs w:val="22"/>
      </w:rPr>
      <w:t>ANEXO 1</w:t>
    </w:r>
  </w:p>
  <w:p w14:paraId="46D2D978" w14:textId="77777777" w:rsidR="006660AA" w:rsidRPr="00DA7BA2" w:rsidRDefault="006660AA" w:rsidP="006660AA">
    <w:pPr>
      <w:pStyle w:val="Encabezado"/>
      <w:ind w:hanging="1418"/>
      <w:jc w:val="center"/>
      <w:rPr>
        <w:rFonts w:ascii="Georgia" w:hAnsi="Georgia"/>
        <w:b/>
        <w:sz w:val="22"/>
        <w:szCs w:val="22"/>
      </w:rPr>
    </w:pPr>
  </w:p>
  <w:p w14:paraId="020AA969" w14:textId="24CA6706" w:rsidR="00894297" w:rsidRDefault="00DA7BA2" w:rsidP="00587174">
    <w:pPr>
      <w:pStyle w:val="Encabezado"/>
      <w:ind w:hanging="1418"/>
      <w:jc w:val="center"/>
      <w:rPr>
        <w:rFonts w:ascii="Georgia" w:hAnsi="Georgia"/>
        <w:b/>
        <w:sz w:val="22"/>
        <w:szCs w:val="22"/>
      </w:rPr>
    </w:pPr>
    <w:r w:rsidRPr="00DA7BA2">
      <w:rPr>
        <w:rFonts w:ascii="Georgia" w:hAnsi="Georgia"/>
        <w:b/>
        <w:sz w:val="22"/>
        <w:szCs w:val="22"/>
      </w:rPr>
      <w:t>CAPÍTULO: Identificación y valoración de Riesgos Fiscales y Diseño de Controles para su Prevención y Mitigación</w:t>
    </w:r>
    <w:r w:rsidR="00AD6299" w:rsidRPr="00DA7BA2">
      <w:rPr>
        <w:rFonts w:ascii="Georgia" w:hAnsi="Georgia" w:cs="Arial"/>
        <w:b/>
        <w:bCs/>
        <w:noProof/>
        <w:color w:val="1D1B11" w:themeColor="background2" w:themeShade="1A"/>
        <w:sz w:val="22"/>
        <w:szCs w:val="22"/>
        <w:lang w:eastAsia="es-CO"/>
      </w:rPr>
      <mc:AlternateContent>
        <mc:Choice Requires="wpg">
          <w:drawing>
            <wp:anchor distT="0" distB="0" distL="114300" distR="114300" simplePos="0" relativeHeight="251666432" behindDoc="0" locked="0" layoutInCell="1" allowOverlap="1" wp14:anchorId="5A27B617" wp14:editId="1961F95D">
              <wp:simplePos x="0" y="0"/>
              <wp:positionH relativeFrom="column">
                <wp:posOffset>365</wp:posOffset>
              </wp:positionH>
              <wp:positionV relativeFrom="paragraph">
                <wp:posOffset>1476699</wp:posOffset>
              </wp:positionV>
              <wp:extent cx="1029335" cy="45719"/>
              <wp:effectExtent l="0" t="0" r="12065" b="5715"/>
              <wp:wrapNone/>
              <wp:docPr id="207" name="Agrupar 207"/>
              <wp:cNvGraphicFramePr/>
              <a:graphic xmlns:a="http://schemas.openxmlformats.org/drawingml/2006/main">
                <a:graphicData uri="http://schemas.microsoft.com/office/word/2010/wordprocessingGroup">
                  <wpg:wgp>
                    <wpg:cNvGrpSpPr/>
                    <wpg:grpSpPr>
                      <a:xfrm>
                        <a:off x="0" y="0"/>
                        <a:ext cx="1029335" cy="45719"/>
                        <a:chOff x="0" y="0"/>
                        <a:chExt cx="7975600" cy="116840"/>
                      </a:xfrm>
                    </wpg:grpSpPr>
                    <wps:wsp>
                      <wps:cNvPr id="204" name="Rectángulo 204"/>
                      <wps:cNvSpPr/>
                      <wps:spPr>
                        <a:xfrm>
                          <a:off x="0" y="0"/>
                          <a:ext cx="2717800" cy="116840"/>
                        </a:xfrm>
                        <a:prstGeom prst="rect">
                          <a:avLst/>
                        </a:prstGeom>
                        <a:solidFill>
                          <a:srgbClr val="FFB6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ángulo 205"/>
                      <wps:cNvSpPr/>
                      <wps:spPr>
                        <a:xfrm>
                          <a:off x="2628900" y="0"/>
                          <a:ext cx="2717800" cy="116840"/>
                        </a:xfrm>
                        <a:prstGeom prst="rect">
                          <a:avLst/>
                        </a:prstGeom>
                        <a:solidFill>
                          <a:srgbClr val="004B9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Rectángulo 206"/>
                      <wps:cNvSpPr/>
                      <wps:spPr>
                        <a:xfrm>
                          <a:off x="5257800" y="0"/>
                          <a:ext cx="2717800" cy="116840"/>
                        </a:xfrm>
                        <a:prstGeom prst="rect">
                          <a:avLst/>
                        </a:prstGeom>
                        <a:solidFill>
                          <a:srgbClr val="FA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75A6E97" id="Agrupar 207" o:spid="_x0000_s1026" style="position:absolute;margin-left:.05pt;margin-top:116.3pt;width:81.05pt;height:3.6pt;z-index:251666432;mso-width-relative:margin;mso-height-relative:margin" coordsize="79756,1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">
              <v:rect id="Rectángulo 204" o:spid="_x0000_s1027" style="position:absolute;width:27178;height:1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" fillcolor="#ffb627" stroked="f" strokeweight="2pt"/>
              <v:rect id="Rectángulo 205" o:spid="_x0000_s1028" style="position:absolute;left:26289;width:27178;height:1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" fillcolor="#004b90" stroked="f" strokeweight="2pt"/>
              <v:rect id="Rectángulo 206" o:spid="_x0000_s1029" style="position:absolute;left:52578;width:27178;height:1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" fillcolor="#fa0000" stroked="f" strokeweight="2pt"/>
            </v:group>
          </w:pict>
        </mc:Fallback>
      </mc:AlternateContent>
    </w:r>
  </w:p>
  <w:p w14:paraId="03DF167E" w14:textId="77777777" w:rsidR="006660AA" w:rsidRPr="00DA7BA2" w:rsidRDefault="006660AA" w:rsidP="00587174">
    <w:pPr>
      <w:pStyle w:val="Encabezado"/>
      <w:ind w:hanging="1418"/>
      <w:jc w:val="center"/>
      <w:rPr>
        <w:rFonts w:ascii="Georgia" w:hAnsi="Georgia"/>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E0528"/>
    <w:multiLevelType w:val="singleLevel"/>
    <w:tmpl w:val="0C0A000F"/>
    <w:lvl w:ilvl="0">
      <w:start w:val="1"/>
      <w:numFmt w:val="decimal"/>
      <w:lvlText w:val="%1."/>
      <w:lvlJc w:val="left"/>
      <w:pPr>
        <w:tabs>
          <w:tab w:val="num" w:pos="360"/>
        </w:tabs>
        <w:ind w:left="360" w:hanging="360"/>
      </w:pPr>
    </w:lvl>
  </w:abstractNum>
  <w:abstractNum w:abstractNumId="1" w15:restartNumberingAfterBreak="0">
    <w:nsid w:val="23A05F7C"/>
    <w:multiLevelType w:val="hybridMultilevel"/>
    <w:tmpl w:val="E6E0C63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8BF5DA2"/>
    <w:multiLevelType w:val="singleLevel"/>
    <w:tmpl w:val="0C0A000F"/>
    <w:lvl w:ilvl="0">
      <w:start w:val="1"/>
      <w:numFmt w:val="decimal"/>
      <w:lvlText w:val="%1."/>
      <w:lvlJc w:val="left"/>
      <w:pPr>
        <w:tabs>
          <w:tab w:val="num" w:pos="360"/>
        </w:tabs>
        <w:ind w:left="360" w:hanging="360"/>
      </w:pPr>
    </w:lvl>
  </w:abstractNum>
  <w:abstractNum w:abstractNumId="3" w15:restartNumberingAfterBreak="0">
    <w:nsid w:val="3BE61AED"/>
    <w:multiLevelType w:val="hybridMultilevel"/>
    <w:tmpl w:val="3D069C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34A357E"/>
    <w:multiLevelType w:val="hybridMultilevel"/>
    <w:tmpl w:val="EF1489D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7AC4D2E"/>
    <w:multiLevelType w:val="multilevel"/>
    <w:tmpl w:val="2078E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79480D"/>
    <w:multiLevelType w:val="hybridMultilevel"/>
    <w:tmpl w:val="AEACAF8A"/>
    <w:lvl w:ilvl="0" w:tplc="516E76C4">
      <w:numFmt w:val="bullet"/>
      <w:lvlText w:val="-"/>
      <w:lvlJc w:val="left"/>
      <w:pPr>
        <w:tabs>
          <w:tab w:val="num" w:pos="720"/>
        </w:tabs>
        <w:ind w:left="720" w:hanging="360"/>
      </w:pPr>
      <w:rPr>
        <w:rFonts w:ascii="Times New Roman" w:eastAsia="Times"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593962"/>
    <w:multiLevelType w:val="hybridMultilevel"/>
    <w:tmpl w:val="357668DC"/>
    <w:lvl w:ilvl="0" w:tplc="0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Aria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Arial"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Arial"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5E4718D"/>
    <w:multiLevelType w:val="hybridMultilevel"/>
    <w:tmpl w:val="7E0E822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E334568"/>
    <w:multiLevelType w:val="hybridMultilevel"/>
    <w:tmpl w:val="9AC4CA1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6"/>
  </w:num>
  <w:num w:numId="5">
    <w:abstractNumId w:val="3"/>
  </w:num>
  <w:num w:numId="6">
    <w:abstractNumId w:val="9"/>
  </w:num>
  <w:num w:numId="7">
    <w:abstractNumId w:val="8"/>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449"/>
    <w:rsid w:val="00023753"/>
    <w:rsid w:val="00067A12"/>
    <w:rsid w:val="00075FE0"/>
    <w:rsid w:val="000A4CC4"/>
    <w:rsid w:val="000B54E8"/>
    <w:rsid w:val="000F41A7"/>
    <w:rsid w:val="001103D9"/>
    <w:rsid w:val="0017702D"/>
    <w:rsid w:val="001D51A6"/>
    <w:rsid w:val="00214781"/>
    <w:rsid w:val="0022597E"/>
    <w:rsid w:val="0024569B"/>
    <w:rsid w:val="0027001C"/>
    <w:rsid w:val="002770A7"/>
    <w:rsid w:val="002915AB"/>
    <w:rsid w:val="00291A40"/>
    <w:rsid w:val="00297A64"/>
    <w:rsid w:val="002A2FF4"/>
    <w:rsid w:val="002C24E7"/>
    <w:rsid w:val="002E7CF7"/>
    <w:rsid w:val="00360F8E"/>
    <w:rsid w:val="0038332E"/>
    <w:rsid w:val="00390EE1"/>
    <w:rsid w:val="003A11BA"/>
    <w:rsid w:val="003F0C2C"/>
    <w:rsid w:val="00446B46"/>
    <w:rsid w:val="00470F3A"/>
    <w:rsid w:val="00490495"/>
    <w:rsid w:val="00493648"/>
    <w:rsid w:val="004B1CCE"/>
    <w:rsid w:val="004B41B3"/>
    <w:rsid w:val="004E7449"/>
    <w:rsid w:val="004F5981"/>
    <w:rsid w:val="005038D6"/>
    <w:rsid w:val="00544780"/>
    <w:rsid w:val="00555748"/>
    <w:rsid w:val="005840D4"/>
    <w:rsid w:val="00587174"/>
    <w:rsid w:val="005B1E53"/>
    <w:rsid w:val="005D583F"/>
    <w:rsid w:val="005F4484"/>
    <w:rsid w:val="0064378B"/>
    <w:rsid w:val="00646D18"/>
    <w:rsid w:val="006660AA"/>
    <w:rsid w:val="006A53FF"/>
    <w:rsid w:val="006A58B8"/>
    <w:rsid w:val="006B2FBD"/>
    <w:rsid w:val="006B69A2"/>
    <w:rsid w:val="006D6866"/>
    <w:rsid w:val="006F674B"/>
    <w:rsid w:val="007026C6"/>
    <w:rsid w:val="00717EDE"/>
    <w:rsid w:val="00762842"/>
    <w:rsid w:val="00790568"/>
    <w:rsid w:val="0079664E"/>
    <w:rsid w:val="007A6FDC"/>
    <w:rsid w:val="007B4917"/>
    <w:rsid w:val="007B4BDF"/>
    <w:rsid w:val="00811A15"/>
    <w:rsid w:val="00831C82"/>
    <w:rsid w:val="008358EF"/>
    <w:rsid w:val="00851FB8"/>
    <w:rsid w:val="00877D6B"/>
    <w:rsid w:val="008855F1"/>
    <w:rsid w:val="00890B2B"/>
    <w:rsid w:val="00894297"/>
    <w:rsid w:val="00895BE2"/>
    <w:rsid w:val="008B4E2F"/>
    <w:rsid w:val="008B72B4"/>
    <w:rsid w:val="008D5975"/>
    <w:rsid w:val="008F3D36"/>
    <w:rsid w:val="008F4340"/>
    <w:rsid w:val="008F74D5"/>
    <w:rsid w:val="00920F61"/>
    <w:rsid w:val="009273BE"/>
    <w:rsid w:val="0093571A"/>
    <w:rsid w:val="00956CC5"/>
    <w:rsid w:val="00975671"/>
    <w:rsid w:val="009C1CA0"/>
    <w:rsid w:val="009D31A6"/>
    <w:rsid w:val="009E4FC8"/>
    <w:rsid w:val="009F0F6A"/>
    <w:rsid w:val="00A77B5C"/>
    <w:rsid w:val="00A933E7"/>
    <w:rsid w:val="00AA1644"/>
    <w:rsid w:val="00AC7B21"/>
    <w:rsid w:val="00AD0C69"/>
    <w:rsid w:val="00AD6299"/>
    <w:rsid w:val="00AE30FE"/>
    <w:rsid w:val="00B23468"/>
    <w:rsid w:val="00B45572"/>
    <w:rsid w:val="00B80073"/>
    <w:rsid w:val="00B828B8"/>
    <w:rsid w:val="00B83D95"/>
    <w:rsid w:val="00B915B5"/>
    <w:rsid w:val="00BA49EC"/>
    <w:rsid w:val="00BC448E"/>
    <w:rsid w:val="00BD522D"/>
    <w:rsid w:val="00C061E9"/>
    <w:rsid w:val="00C749C3"/>
    <w:rsid w:val="00CC7114"/>
    <w:rsid w:val="00CC7A82"/>
    <w:rsid w:val="00CD6C0F"/>
    <w:rsid w:val="00CE6376"/>
    <w:rsid w:val="00CE794D"/>
    <w:rsid w:val="00D26A41"/>
    <w:rsid w:val="00D354A1"/>
    <w:rsid w:val="00D35C5B"/>
    <w:rsid w:val="00D83824"/>
    <w:rsid w:val="00D9402F"/>
    <w:rsid w:val="00DA6538"/>
    <w:rsid w:val="00DA7BA2"/>
    <w:rsid w:val="00DD4650"/>
    <w:rsid w:val="00DF091C"/>
    <w:rsid w:val="00E064EE"/>
    <w:rsid w:val="00E13C14"/>
    <w:rsid w:val="00E224BE"/>
    <w:rsid w:val="00E435DE"/>
    <w:rsid w:val="00E5239E"/>
    <w:rsid w:val="00EB7E07"/>
    <w:rsid w:val="00F02E3A"/>
    <w:rsid w:val="00F02FB7"/>
    <w:rsid w:val="00F34B65"/>
    <w:rsid w:val="00F63A87"/>
    <w:rsid w:val="00F70A4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B6B464"/>
  <w15:docId w15:val="{6DFB89A1-4B04-48C6-9EAD-AB7E950F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460C"/>
    <w:rPr>
      <w:sz w:val="24"/>
      <w:lang w:eastAsia="es-ES"/>
    </w:rPr>
  </w:style>
  <w:style w:type="paragraph" w:styleId="Ttulo1">
    <w:name w:val="heading 1"/>
    <w:basedOn w:val="Normal"/>
    <w:next w:val="Normal"/>
    <w:qFormat/>
    <w:rsid w:val="00CE460C"/>
    <w:pPr>
      <w:keepNext/>
      <w:jc w:val="both"/>
      <w:outlineLvl w:val="0"/>
    </w:pPr>
    <w:rPr>
      <w:rFonts w:ascii="Arial" w:hAnsi="Arial"/>
      <w:b/>
      <w:lang w:val="es-ES_tradnl"/>
    </w:rPr>
  </w:style>
  <w:style w:type="paragraph" w:styleId="Ttulo2">
    <w:name w:val="heading 2"/>
    <w:basedOn w:val="Normal"/>
    <w:next w:val="Normal"/>
    <w:qFormat/>
    <w:rsid w:val="00CE460C"/>
    <w:pPr>
      <w:keepNext/>
      <w:outlineLvl w:val="1"/>
    </w:pPr>
    <w:rPr>
      <w:rFonts w:ascii="Arial" w:hAnsi="Arial" w:cs="Arial"/>
      <w:b/>
      <w:bCs/>
      <w:sz w:val="22"/>
      <w:lang w:val="es-ES_tradnl"/>
    </w:rPr>
  </w:style>
  <w:style w:type="paragraph" w:styleId="Ttulo3">
    <w:name w:val="heading 3"/>
    <w:basedOn w:val="Normal"/>
    <w:next w:val="Normal"/>
    <w:qFormat/>
    <w:rsid w:val="00CE460C"/>
    <w:pPr>
      <w:keepNext/>
      <w:jc w:val="both"/>
      <w:outlineLvl w:val="2"/>
    </w:pPr>
    <w:rPr>
      <w:rFonts w:ascii="Arial" w:hAnsi="Arial" w:cs="Arial"/>
      <w:b/>
      <w:sz w:val="22"/>
      <w:lang w:val="es-ES_tradnl"/>
    </w:rPr>
  </w:style>
  <w:style w:type="paragraph" w:styleId="Ttulo4">
    <w:name w:val="heading 4"/>
    <w:basedOn w:val="Normal"/>
    <w:next w:val="Normal"/>
    <w:qFormat/>
    <w:rsid w:val="00CE460C"/>
    <w:pPr>
      <w:keepNext/>
      <w:outlineLvl w:val="3"/>
    </w:pPr>
    <w:rPr>
      <w:rFonts w:ascii="Arial" w:hAnsi="Arial" w:cs="Arial"/>
      <w:b/>
      <w:bCs/>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CE460C"/>
    <w:pPr>
      <w:tabs>
        <w:tab w:val="center" w:pos="4419"/>
        <w:tab w:val="right" w:pos="8838"/>
      </w:tabs>
    </w:pPr>
  </w:style>
  <w:style w:type="paragraph" w:styleId="Piedepgina">
    <w:name w:val="footer"/>
    <w:basedOn w:val="Normal"/>
    <w:link w:val="PiedepginaCar"/>
    <w:uiPriority w:val="99"/>
    <w:rsid w:val="00CE460C"/>
    <w:pPr>
      <w:tabs>
        <w:tab w:val="center" w:pos="4419"/>
        <w:tab w:val="right" w:pos="8838"/>
      </w:tabs>
    </w:pPr>
  </w:style>
  <w:style w:type="paragraph" w:styleId="Textoindependiente">
    <w:name w:val="Body Text"/>
    <w:basedOn w:val="Normal"/>
    <w:rsid w:val="00CE460C"/>
    <w:pPr>
      <w:jc w:val="both"/>
    </w:pPr>
    <w:rPr>
      <w:lang w:val="es-ES_tradnl"/>
    </w:rPr>
  </w:style>
  <w:style w:type="paragraph" w:styleId="Textoindependiente2">
    <w:name w:val="Body Text 2"/>
    <w:basedOn w:val="Normal"/>
    <w:rsid w:val="00CE460C"/>
    <w:pPr>
      <w:widowControl w:val="0"/>
      <w:jc w:val="both"/>
    </w:pPr>
    <w:rPr>
      <w:rFonts w:ascii="Arial" w:eastAsia="MS Mincho" w:hAnsi="Arial" w:cs="Arial"/>
      <w:sz w:val="22"/>
      <w:szCs w:val="24"/>
      <w:lang w:val="es-MX" w:eastAsia="es-CO"/>
    </w:rPr>
  </w:style>
  <w:style w:type="paragraph" w:styleId="Sangradetextonormal">
    <w:name w:val="Body Text Indent"/>
    <w:basedOn w:val="Normal"/>
    <w:rsid w:val="00CE460C"/>
    <w:pPr>
      <w:ind w:left="-142"/>
      <w:jc w:val="both"/>
    </w:pPr>
    <w:rPr>
      <w:rFonts w:ascii="Verdana" w:hAnsi="Verdana"/>
      <w:sz w:val="22"/>
      <w:szCs w:val="22"/>
    </w:rPr>
  </w:style>
  <w:style w:type="paragraph" w:styleId="Textoindependiente3">
    <w:name w:val="Body Text 3"/>
    <w:basedOn w:val="Normal"/>
    <w:rsid w:val="00CE460C"/>
    <w:pPr>
      <w:jc w:val="both"/>
    </w:pPr>
    <w:rPr>
      <w:rFonts w:ascii="Arial" w:hAnsi="Arial" w:cs="Arial"/>
      <w:sz w:val="16"/>
      <w:szCs w:val="18"/>
      <w:lang w:val="es-ES"/>
    </w:rPr>
  </w:style>
  <w:style w:type="paragraph" w:styleId="NormalWeb">
    <w:name w:val="Normal (Web)"/>
    <w:basedOn w:val="Normal"/>
    <w:uiPriority w:val="99"/>
    <w:rsid w:val="00CE460C"/>
    <w:pPr>
      <w:spacing w:before="100" w:beforeAutospacing="1" w:after="100" w:afterAutospacing="1"/>
    </w:pPr>
    <w:rPr>
      <w:rFonts w:ascii="Times New Roman" w:eastAsia="Times New Roman" w:hAnsi="Times New Roman"/>
      <w:szCs w:val="24"/>
      <w:lang w:val="es-ES"/>
    </w:rPr>
  </w:style>
  <w:style w:type="paragraph" w:styleId="Mapadeldocumento">
    <w:name w:val="Document Map"/>
    <w:basedOn w:val="Normal"/>
    <w:semiHidden/>
    <w:rsid w:val="00CE460C"/>
    <w:pPr>
      <w:shd w:val="clear" w:color="auto" w:fill="000080"/>
    </w:pPr>
    <w:rPr>
      <w:rFonts w:ascii="Tahoma" w:hAnsi="Tahoma" w:cs="Tahoma"/>
    </w:rPr>
  </w:style>
  <w:style w:type="character" w:styleId="Hipervnculo">
    <w:name w:val="Hyperlink"/>
    <w:rsid w:val="00D737C4"/>
    <w:rPr>
      <w:color w:val="0000FF"/>
      <w:u w:val="single"/>
    </w:rPr>
  </w:style>
  <w:style w:type="table" w:styleId="Tablaconcuadrcula">
    <w:name w:val="Table Grid"/>
    <w:basedOn w:val="Tablanormal"/>
    <w:uiPriority w:val="39"/>
    <w:rsid w:val="0013307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13307A"/>
  </w:style>
  <w:style w:type="character" w:styleId="Textoennegrita">
    <w:name w:val="Strong"/>
    <w:qFormat/>
    <w:rsid w:val="00A01D76"/>
    <w:rPr>
      <w:b/>
      <w:bCs/>
    </w:rPr>
  </w:style>
  <w:style w:type="paragraph" w:customStyle="1" w:styleId="Default">
    <w:name w:val="Default"/>
    <w:rsid w:val="00630994"/>
    <w:pPr>
      <w:autoSpaceDE w:val="0"/>
      <w:autoSpaceDN w:val="0"/>
      <w:adjustRightInd w:val="0"/>
    </w:pPr>
    <w:rPr>
      <w:rFonts w:ascii="Cambria" w:hAnsi="Cambria" w:cs="Cambria"/>
      <w:color w:val="000000"/>
      <w:sz w:val="24"/>
      <w:szCs w:val="24"/>
    </w:rPr>
  </w:style>
  <w:style w:type="paragraph" w:customStyle="1" w:styleId="Textoindependiente21">
    <w:name w:val="Texto independiente 21"/>
    <w:basedOn w:val="Normal"/>
    <w:rsid w:val="004E7449"/>
    <w:pPr>
      <w:jc w:val="both"/>
    </w:pPr>
    <w:rPr>
      <w:rFonts w:ascii="Arial" w:eastAsia="Times New Roman" w:hAnsi="Arial"/>
      <w:lang w:val="es-ES"/>
    </w:rPr>
  </w:style>
  <w:style w:type="character" w:customStyle="1" w:styleId="EncabezadoCar">
    <w:name w:val="Encabezado Car"/>
    <w:basedOn w:val="Fuentedeprrafopredeter"/>
    <w:link w:val="Encabezado"/>
    <w:uiPriority w:val="99"/>
    <w:rsid w:val="00894297"/>
    <w:rPr>
      <w:sz w:val="24"/>
      <w:lang w:val="en-US" w:eastAsia="es-ES"/>
    </w:rPr>
  </w:style>
  <w:style w:type="character" w:customStyle="1" w:styleId="PiedepginaCar">
    <w:name w:val="Pie de página Car"/>
    <w:basedOn w:val="Fuentedeprrafopredeter"/>
    <w:link w:val="Piedepgina"/>
    <w:uiPriority w:val="99"/>
    <w:rsid w:val="00894297"/>
    <w:rPr>
      <w:sz w:val="24"/>
      <w:lang w:val="en-US" w:eastAsia="es-ES"/>
    </w:rPr>
  </w:style>
  <w:style w:type="paragraph" w:styleId="Textodeglobo">
    <w:name w:val="Balloon Text"/>
    <w:basedOn w:val="Normal"/>
    <w:link w:val="TextodegloboCar"/>
    <w:uiPriority w:val="99"/>
    <w:rsid w:val="0038332E"/>
    <w:rPr>
      <w:rFonts w:ascii="Lucida Grande" w:hAnsi="Lucida Grande" w:cs="Lucida Grande"/>
      <w:sz w:val="18"/>
      <w:szCs w:val="18"/>
    </w:rPr>
  </w:style>
  <w:style w:type="character" w:customStyle="1" w:styleId="TextodegloboCar">
    <w:name w:val="Texto de globo Car"/>
    <w:basedOn w:val="Fuentedeprrafopredeter"/>
    <w:link w:val="Textodeglobo"/>
    <w:uiPriority w:val="99"/>
    <w:rsid w:val="0038332E"/>
    <w:rPr>
      <w:rFonts w:ascii="Lucida Grande" w:hAnsi="Lucida Grande" w:cs="Lucida Grande"/>
      <w:sz w:val="18"/>
      <w:szCs w:val="18"/>
      <w:lang w:val="en-US" w:eastAsia="es-ES"/>
    </w:rPr>
  </w:style>
  <w:style w:type="paragraph" w:styleId="Ttulo">
    <w:name w:val="Title"/>
    <w:basedOn w:val="Normal"/>
    <w:next w:val="Normal"/>
    <w:link w:val="TtuloCar"/>
    <w:qFormat/>
    <w:rsid w:val="00811A15"/>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811A15"/>
    <w:rPr>
      <w:rFonts w:asciiTheme="majorHAnsi" w:eastAsiaTheme="majorEastAsia" w:hAnsiTheme="majorHAnsi" w:cstheme="majorBidi"/>
      <w:spacing w:val="-10"/>
      <w:kern w:val="28"/>
      <w:sz w:val="56"/>
      <w:szCs w:val="56"/>
      <w:lang w:val="en-US" w:eastAsia="es-ES"/>
    </w:rPr>
  </w:style>
  <w:style w:type="paragraph" w:styleId="Prrafodelista">
    <w:name w:val="List Paragraph"/>
    <w:basedOn w:val="Normal"/>
    <w:uiPriority w:val="34"/>
    <w:qFormat/>
    <w:rsid w:val="002C24E7"/>
    <w:pPr>
      <w:ind w:left="720"/>
      <w:contextualSpacing/>
    </w:pPr>
  </w:style>
  <w:style w:type="paragraph" w:customStyle="1" w:styleId="paragraph">
    <w:name w:val="paragraph"/>
    <w:basedOn w:val="Normal"/>
    <w:rsid w:val="007B4917"/>
    <w:pPr>
      <w:spacing w:before="100" w:beforeAutospacing="1" w:after="100" w:afterAutospacing="1"/>
    </w:pPr>
    <w:rPr>
      <w:rFonts w:ascii="Times New Roman" w:eastAsia="Times New Roman" w:hAnsi="Times New Roman"/>
      <w:szCs w:val="24"/>
      <w:lang w:eastAsia="es-CO"/>
    </w:rPr>
  </w:style>
  <w:style w:type="character" w:customStyle="1" w:styleId="normaltextrun">
    <w:name w:val="normaltextrun"/>
    <w:rsid w:val="007B4917"/>
  </w:style>
  <w:style w:type="character" w:customStyle="1" w:styleId="eop">
    <w:name w:val="eop"/>
    <w:rsid w:val="007B4917"/>
  </w:style>
  <w:style w:type="paragraph" w:styleId="Textonotapie">
    <w:name w:val="footnote text"/>
    <w:basedOn w:val="Normal"/>
    <w:link w:val="TextonotapieCar"/>
    <w:semiHidden/>
    <w:unhideWhenUsed/>
    <w:rsid w:val="00DA7BA2"/>
    <w:rPr>
      <w:sz w:val="20"/>
    </w:rPr>
  </w:style>
  <w:style w:type="character" w:customStyle="1" w:styleId="TextonotapieCar">
    <w:name w:val="Texto nota pie Car"/>
    <w:basedOn w:val="Fuentedeprrafopredeter"/>
    <w:link w:val="Textonotapie"/>
    <w:semiHidden/>
    <w:rsid w:val="00DA7BA2"/>
    <w:rPr>
      <w:lang w:eastAsia="es-ES"/>
    </w:rPr>
  </w:style>
  <w:style w:type="character" w:styleId="Refdenotaalpie">
    <w:name w:val="footnote reference"/>
    <w:basedOn w:val="Fuentedeprrafopredeter"/>
    <w:semiHidden/>
    <w:unhideWhenUsed/>
    <w:rsid w:val="00DA7BA2"/>
    <w:rPr>
      <w:vertAlign w:val="superscript"/>
    </w:rPr>
  </w:style>
  <w:style w:type="table" w:styleId="Tabladelista1clara">
    <w:name w:val="List Table 1 Light"/>
    <w:basedOn w:val="Tablanormal"/>
    <w:uiPriority w:val="46"/>
    <w:rsid w:val="006660A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894420">
      <w:bodyDiv w:val="1"/>
      <w:marLeft w:val="0"/>
      <w:marRight w:val="0"/>
      <w:marTop w:val="0"/>
      <w:marBottom w:val="0"/>
      <w:divBdr>
        <w:top w:val="none" w:sz="0" w:space="0" w:color="auto"/>
        <w:left w:val="none" w:sz="0" w:space="0" w:color="auto"/>
        <w:bottom w:val="none" w:sz="0" w:space="0" w:color="auto"/>
        <w:right w:val="none" w:sz="0" w:space="0" w:color="auto"/>
      </w:divBdr>
    </w:div>
    <w:div w:id="357006157">
      <w:bodyDiv w:val="1"/>
      <w:marLeft w:val="0"/>
      <w:marRight w:val="0"/>
      <w:marTop w:val="0"/>
      <w:marBottom w:val="0"/>
      <w:divBdr>
        <w:top w:val="none" w:sz="0" w:space="0" w:color="auto"/>
        <w:left w:val="none" w:sz="0" w:space="0" w:color="auto"/>
        <w:bottom w:val="none" w:sz="0" w:space="0" w:color="auto"/>
        <w:right w:val="none" w:sz="0" w:space="0" w:color="auto"/>
      </w:divBdr>
    </w:div>
    <w:div w:id="466975408">
      <w:bodyDiv w:val="1"/>
      <w:marLeft w:val="0"/>
      <w:marRight w:val="0"/>
      <w:marTop w:val="0"/>
      <w:marBottom w:val="0"/>
      <w:divBdr>
        <w:top w:val="none" w:sz="0" w:space="0" w:color="auto"/>
        <w:left w:val="none" w:sz="0" w:space="0" w:color="auto"/>
        <w:bottom w:val="none" w:sz="0" w:space="0" w:color="auto"/>
        <w:right w:val="none" w:sz="0" w:space="0" w:color="auto"/>
      </w:divBdr>
    </w:div>
    <w:div w:id="601451409">
      <w:bodyDiv w:val="1"/>
      <w:marLeft w:val="0"/>
      <w:marRight w:val="0"/>
      <w:marTop w:val="0"/>
      <w:marBottom w:val="0"/>
      <w:divBdr>
        <w:top w:val="none" w:sz="0" w:space="0" w:color="auto"/>
        <w:left w:val="none" w:sz="0" w:space="0" w:color="auto"/>
        <w:bottom w:val="none" w:sz="0" w:space="0" w:color="auto"/>
        <w:right w:val="none" w:sz="0" w:space="0" w:color="auto"/>
      </w:divBdr>
    </w:div>
    <w:div w:id="954094689">
      <w:bodyDiv w:val="1"/>
      <w:marLeft w:val="0"/>
      <w:marRight w:val="0"/>
      <w:marTop w:val="0"/>
      <w:marBottom w:val="0"/>
      <w:divBdr>
        <w:top w:val="none" w:sz="0" w:space="0" w:color="auto"/>
        <w:left w:val="none" w:sz="0" w:space="0" w:color="auto"/>
        <w:bottom w:val="none" w:sz="0" w:space="0" w:color="auto"/>
        <w:right w:val="none" w:sz="0" w:space="0" w:color="auto"/>
      </w:divBdr>
    </w:div>
    <w:div w:id="1319382594">
      <w:bodyDiv w:val="1"/>
      <w:marLeft w:val="0"/>
      <w:marRight w:val="0"/>
      <w:marTop w:val="0"/>
      <w:marBottom w:val="0"/>
      <w:divBdr>
        <w:top w:val="none" w:sz="0" w:space="0" w:color="auto"/>
        <w:left w:val="none" w:sz="0" w:space="0" w:color="auto"/>
        <w:bottom w:val="none" w:sz="0" w:space="0" w:color="auto"/>
        <w:right w:val="none" w:sz="0" w:space="0" w:color="auto"/>
      </w:divBdr>
    </w:div>
    <w:div w:id="1420365167">
      <w:bodyDiv w:val="1"/>
      <w:marLeft w:val="0"/>
      <w:marRight w:val="0"/>
      <w:marTop w:val="0"/>
      <w:marBottom w:val="0"/>
      <w:divBdr>
        <w:top w:val="none" w:sz="0" w:space="0" w:color="auto"/>
        <w:left w:val="none" w:sz="0" w:space="0" w:color="auto"/>
        <w:bottom w:val="none" w:sz="0" w:space="0" w:color="auto"/>
        <w:right w:val="none" w:sz="0" w:space="0" w:color="auto"/>
      </w:divBdr>
    </w:div>
    <w:div w:id="1699429838">
      <w:bodyDiv w:val="1"/>
      <w:marLeft w:val="0"/>
      <w:marRight w:val="0"/>
      <w:marTop w:val="0"/>
      <w:marBottom w:val="0"/>
      <w:divBdr>
        <w:top w:val="none" w:sz="0" w:space="0" w:color="auto"/>
        <w:left w:val="none" w:sz="0" w:space="0" w:color="auto"/>
        <w:bottom w:val="none" w:sz="0" w:space="0" w:color="auto"/>
        <w:right w:val="none" w:sz="0" w:space="0" w:color="auto"/>
      </w:divBdr>
    </w:div>
    <w:div w:id="1812018128">
      <w:bodyDiv w:val="1"/>
      <w:marLeft w:val="0"/>
      <w:marRight w:val="0"/>
      <w:marTop w:val="0"/>
      <w:marBottom w:val="0"/>
      <w:divBdr>
        <w:top w:val="none" w:sz="0" w:space="0" w:color="auto"/>
        <w:left w:val="none" w:sz="0" w:space="0" w:color="auto"/>
        <w:bottom w:val="none" w:sz="0" w:space="0" w:color="auto"/>
        <w:right w:val="none" w:sz="0" w:space="0" w:color="auto"/>
      </w:divBdr>
    </w:div>
    <w:div w:id="1878464322">
      <w:bodyDiv w:val="1"/>
      <w:marLeft w:val="0"/>
      <w:marRight w:val="0"/>
      <w:marTop w:val="0"/>
      <w:marBottom w:val="0"/>
      <w:divBdr>
        <w:top w:val="none" w:sz="0" w:space="0" w:color="auto"/>
        <w:left w:val="none" w:sz="0" w:space="0" w:color="auto"/>
        <w:bottom w:val="none" w:sz="0" w:space="0" w:color="auto"/>
        <w:right w:val="none" w:sz="0" w:space="0" w:color="auto"/>
      </w:divBdr>
    </w:div>
    <w:div w:id="194768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eva@funcionpublica.gov.co" TargetMode="External"/><Relationship Id="rId1" Type="http://schemas.openxmlformats.org/officeDocument/2006/relationships/hyperlink" Target="http://www.funcionpublica.gov.c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eva@funcionpublica.gov.co" TargetMode="External"/><Relationship Id="rId1" Type="http://schemas.openxmlformats.org/officeDocument/2006/relationships/hyperlink" Target="http://www.funcionpubli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oreno\AppData\Roaming\Microsoft\Plantillas\PLANTILLA%20EXT.%20ORFEO%20-%20NOV.%202014.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534B-2A8D-4248-9A84-9D975E607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EXT. ORFEO - NOV. 2014.dot</Template>
  <TotalTime>33</TotalTime>
  <Pages>1</Pages>
  <Words>1409</Words>
  <Characters>7750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sadhagsdhagsdhagdhasgdhgdhagsf</vt:lpstr>
    </vt:vector>
  </TitlesOfParts>
  <Company>DAFP</Company>
  <LinksUpToDate>false</LinksUpToDate>
  <CharactersWithSpaces>9141</CharactersWithSpaces>
  <SharedDoc>false</SharedDoc>
  <HLinks>
    <vt:vector size="18" baseType="variant">
      <vt:variant>
        <vt:i4>6619141</vt:i4>
      </vt:variant>
      <vt:variant>
        <vt:i4>6</vt:i4>
      </vt:variant>
      <vt:variant>
        <vt:i4>0</vt:i4>
      </vt:variant>
      <vt:variant>
        <vt:i4>5</vt:i4>
      </vt:variant>
      <vt:variant>
        <vt:lpwstr>mailto:webmaster@funcionpublica.gov.co</vt:lpwstr>
      </vt:variant>
      <vt:variant>
        <vt:lpwstr/>
      </vt:variant>
      <vt:variant>
        <vt:i4>2687027</vt:i4>
      </vt:variant>
      <vt:variant>
        <vt:i4>3</vt:i4>
      </vt:variant>
      <vt:variant>
        <vt:i4>0</vt:i4>
      </vt:variant>
      <vt:variant>
        <vt:i4>5</vt:i4>
      </vt:variant>
      <vt:variant>
        <vt:lpwstr>http://www.dafp.gov.co</vt:lpwstr>
      </vt:variant>
      <vt:variant>
        <vt:lpwstr/>
      </vt:variant>
      <vt:variant>
        <vt:i4>7798810</vt:i4>
      </vt:variant>
      <vt:variant>
        <vt:i4>-1</vt:i4>
      </vt:variant>
      <vt:variant>
        <vt:i4>2052</vt:i4>
      </vt:variant>
      <vt:variant>
        <vt:i4>1</vt:i4>
      </vt:variant>
      <vt:variant>
        <vt:lpwstr>Membrete_header-01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sadhagsdhagsdhagdhasgdhgdhagsf</dc:title>
  <dc:creator>Stella Moreno Suescun</dc:creator>
  <cp:lastModifiedBy>Ivan Arturo Márquez Rincón</cp:lastModifiedBy>
  <cp:revision>7</cp:revision>
  <cp:lastPrinted>2018-12-13T17:35:00Z</cp:lastPrinted>
  <dcterms:created xsi:type="dcterms:W3CDTF">2023-02-20T20:47:00Z</dcterms:created>
  <dcterms:modified xsi:type="dcterms:W3CDTF">2024-07-05T14:42:00Z</dcterms:modified>
</cp:coreProperties>
</file>